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5BD62B" w14:textId="7FF4ABBB"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9A0AF3">
        <w:rPr>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E5218B" w:rsidRPr="00B266B0">
        <w:rPr>
          <w:bCs/>
          <w:noProof w:val="0"/>
          <w:sz w:val="24"/>
          <w:szCs w:val="24"/>
        </w:rPr>
        <w:t>1</w:t>
      </w:r>
      <w:r w:rsidR="00E5218B">
        <w:rPr>
          <w:bCs/>
          <w:noProof w:val="0"/>
          <w:sz w:val="24"/>
          <w:szCs w:val="24"/>
        </w:rPr>
        <w:t>68116</w:t>
      </w:r>
    </w:p>
    <w:p w14:paraId="5933F8C0" w14:textId="77777777" w:rsidR="00CD4C7B" w:rsidRPr="00B266B0" w:rsidRDefault="009A0AF3" w:rsidP="00CD4C7B">
      <w:pPr>
        <w:pStyle w:val="Header"/>
        <w:tabs>
          <w:tab w:val="right" w:pos="9639"/>
        </w:tabs>
        <w:rPr>
          <w:bCs/>
          <w:noProof w:val="0"/>
          <w:sz w:val="24"/>
          <w:szCs w:val="24"/>
        </w:rPr>
      </w:pPr>
      <w:r>
        <w:rPr>
          <w:rFonts w:eastAsia="SimSun"/>
          <w:noProof w:val="0"/>
          <w:sz w:val="24"/>
          <w:szCs w:val="24"/>
          <w:lang w:eastAsia="zh-CN"/>
        </w:rPr>
        <w:t>Reno</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Pr>
          <w:rFonts w:eastAsia="SimSun"/>
          <w:noProof w:val="0"/>
          <w:sz w:val="24"/>
          <w:szCs w:val="24"/>
          <w:lang w:eastAsia="zh-CN"/>
        </w:rPr>
        <w:t>14</w:t>
      </w:r>
      <w:r w:rsidR="00C24650" w:rsidRPr="00C24650">
        <w:rPr>
          <w:rFonts w:eastAsia="SimSun"/>
          <w:noProof w:val="0"/>
          <w:sz w:val="24"/>
          <w:szCs w:val="24"/>
          <w:lang w:eastAsia="zh-CN"/>
        </w:rPr>
        <w:t xml:space="preserve"> - </w:t>
      </w:r>
      <w:r>
        <w:rPr>
          <w:rFonts w:eastAsia="SimSun"/>
          <w:noProof w:val="0"/>
          <w:sz w:val="24"/>
          <w:szCs w:val="24"/>
          <w:lang w:eastAsia="zh-CN"/>
        </w:rPr>
        <w:t>18</w:t>
      </w:r>
      <w:r w:rsidR="00C24650" w:rsidRPr="00C24650">
        <w:rPr>
          <w:rFonts w:eastAsia="SimSun"/>
          <w:noProof w:val="0"/>
          <w:sz w:val="24"/>
          <w:szCs w:val="24"/>
          <w:lang w:eastAsia="zh-CN"/>
        </w:rPr>
        <w:t xml:space="preserve"> </w:t>
      </w:r>
      <w:r>
        <w:rPr>
          <w:rFonts w:eastAsia="SimSun"/>
          <w:noProof w:val="0"/>
          <w:sz w:val="24"/>
          <w:szCs w:val="24"/>
          <w:lang w:eastAsia="zh-CN"/>
        </w:rPr>
        <w:t>November</w:t>
      </w:r>
      <w:r w:rsidR="00C24650" w:rsidRPr="00C24650">
        <w:rPr>
          <w:rFonts w:eastAsia="SimSun"/>
          <w:noProof w:val="0"/>
          <w:sz w:val="24"/>
          <w:szCs w:val="24"/>
          <w:lang w:eastAsia="zh-CN"/>
        </w:rPr>
        <w:t xml:space="preserve"> 2016</w:t>
      </w:r>
    </w:p>
    <w:p w14:paraId="39DAC261" w14:textId="77777777" w:rsidR="00CD4C7B" w:rsidRPr="00B266B0" w:rsidRDefault="00CD4C7B" w:rsidP="00CD4C7B">
      <w:pPr>
        <w:pStyle w:val="Header"/>
        <w:rPr>
          <w:bCs/>
          <w:noProof w:val="0"/>
          <w:sz w:val="24"/>
        </w:rPr>
      </w:pPr>
    </w:p>
    <w:p w14:paraId="185FDAE8" w14:textId="77777777" w:rsidR="00CD4C7B" w:rsidRPr="00B266B0" w:rsidRDefault="00CD4C7B" w:rsidP="00CD4C7B">
      <w:pPr>
        <w:pStyle w:val="Header"/>
        <w:rPr>
          <w:bCs/>
          <w:noProof w:val="0"/>
          <w:sz w:val="24"/>
        </w:rPr>
      </w:pPr>
    </w:p>
    <w:p w14:paraId="305DBDB0" w14:textId="4F37C07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5218B">
        <w:rPr>
          <w:rFonts w:cs="Arial"/>
          <w:b/>
          <w:bCs/>
          <w:sz w:val="24"/>
          <w:lang w:eastAsia="ja-JP"/>
        </w:rPr>
        <w:t>9.2.2.3</w:t>
      </w:r>
    </w:p>
    <w:p w14:paraId="1742E6C0"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7C9B171B" w14:textId="3D6B90E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22458">
        <w:rPr>
          <w:rFonts w:ascii="Arial" w:hAnsi="Arial" w:cs="Arial"/>
          <w:b/>
          <w:bCs/>
          <w:sz w:val="24"/>
        </w:rPr>
        <w:t>UE capability modelling aspects for LTE/NR tight interworking</w:t>
      </w:r>
    </w:p>
    <w:p w14:paraId="64D27253"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22458" w:rsidRPr="00A075EE">
        <w:rPr>
          <w:rFonts w:ascii="Arial" w:hAnsi="Arial" w:cs="Arial"/>
          <w:b/>
          <w:bCs/>
          <w:sz w:val="24"/>
        </w:rPr>
        <w:t>FS_ NR_newRAT</w:t>
      </w:r>
      <w:r w:rsidR="00222458">
        <w:rPr>
          <w:rFonts w:ascii="Arial" w:hAnsi="Arial" w:cs="Arial"/>
          <w:b/>
          <w:bCs/>
          <w:sz w:val="24"/>
        </w:rPr>
        <w:t xml:space="preserve"> - Release 14</w:t>
      </w:r>
    </w:p>
    <w:p w14:paraId="7878BC61"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ADFDA76" w14:textId="77777777" w:rsidR="00CD4C7B" w:rsidRPr="006E13D1" w:rsidRDefault="00CD4C7B" w:rsidP="00CD4C7B">
      <w:pPr>
        <w:pStyle w:val="Heading1"/>
      </w:pPr>
      <w:r w:rsidRPr="006E13D1">
        <w:t>1</w:t>
      </w:r>
      <w:r w:rsidRPr="006E13D1">
        <w:tab/>
      </w:r>
      <w:r w:rsidR="0056573F">
        <w:t>Introduction</w:t>
      </w:r>
    </w:p>
    <w:p w14:paraId="4773AB69" w14:textId="64C52CA1" w:rsidR="004F4A46" w:rsidRDefault="00222458" w:rsidP="00222458">
      <w:r>
        <w:t>At the outcome of the RAN2#95bis meeting, different aspects related to the LTE-NR tight interworking were discussed. The following agreements were made:</w:t>
      </w:r>
    </w:p>
    <w:p w14:paraId="30EA0603" w14:textId="77777777" w:rsidR="00222458" w:rsidRDefault="00222458" w:rsidP="00222458">
      <w:pPr>
        <w:pStyle w:val="Doc-text2"/>
        <w:pBdr>
          <w:top w:val="single" w:sz="4" w:space="1" w:color="auto"/>
          <w:left w:val="single" w:sz="4" w:space="4" w:color="auto"/>
          <w:bottom w:val="single" w:sz="4" w:space="1" w:color="auto"/>
          <w:right w:val="single" w:sz="4" w:space="4" w:color="auto"/>
        </w:pBdr>
      </w:pPr>
      <w:r>
        <w:t xml:space="preserve">Agreements </w:t>
      </w:r>
      <w:r w:rsidRPr="00222458">
        <w:rPr>
          <w:b/>
        </w:rPr>
        <w:t>(</w:t>
      </w:r>
      <w:r>
        <w:rPr>
          <w:b/>
        </w:rPr>
        <w:t xml:space="preserve">referred to as </w:t>
      </w:r>
      <w:r w:rsidRPr="00222458">
        <w:rPr>
          <w:b/>
        </w:rPr>
        <w:t>Set 1</w:t>
      </w:r>
      <w:r>
        <w:rPr>
          <w:b/>
        </w:rPr>
        <w:t xml:space="preserve"> in this contribution</w:t>
      </w:r>
      <w:r w:rsidRPr="00222458">
        <w:rPr>
          <w:b/>
        </w:rPr>
        <w:t>)</w:t>
      </w:r>
    </w:p>
    <w:p w14:paraId="1CF5802D" w14:textId="77777777" w:rsidR="00222458" w:rsidRDefault="00222458" w:rsidP="00222458">
      <w:pPr>
        <w:pStyle w:val="Doc-text2"/>
        <w:pBdr>
          <w:top w:val="single" w:sz="4" w:space="1" w:color="auto"/>
          <w:left w:val="single" w:sz="4" w:space="4" w:color="auto"/>
          <w:bottom w:val="single" w:sz="4" w:space="1" w:color="auto"/>
          <w:right w:val="single" w:sz="4" w:space="4" w:color="auto"/>
        </w:pBdr>
      </w:pPr>
      <w:r>
        <w:t>1: RAN2 shall consider the LTE/NR tight interworking (with LTE eNB, NR gNB or eLTE eNB as a master node) for the coordination of capabilities.</w:t>
      </w:r>
    </w:p>
    <w:p w14:paraId="11430515" w14:textId="77777777" w:rsidR="00222458" w:rsidRDefault="00222458" w:rsidP="00222458">
      <w:pPr>
        <w:pStyle w:val="Doc-text2"/>
        <w:pBdr>
          <w:top w:val="single" w:sz="4" w:space="1" w:color="auto"/>
          <w:left w:val="single" w:sz="4" w:space="4" w:color="auto"/>
          <w:bottom w:val="single" w:sz="4" w:space="1" w:color="auto"/>
          <w:right w:val="single" w:sz="4" w:space="4" w:color="auto"/>
        </w:pBdr>
      </w:pPr>
      <w:r>
        <w:t>2:</w:t>
      </w:r>
      <w:r>
        <w:tab/>
        <w:t xml:space="preserve"> We should aim to minimum the differences between the NR capability reporting across the LTE/NR tight interworking cases (NR gNB as a master node) and the standalone NR gNB case.</w:t>
      </w:r>
    </w:p>
    <w:p w14:paraId="5326BC16" w14:textId="77777777" w:rsidR="00222458" w:rsidRDefault="00222458" w:rsidP="00222458">
      <w:pPr>
        <w:pStyle w:val="Doc-text2"/>
        <w:pBdr>
          <w:top w:val="single" w:sz="4" w:space="1" w:color="auto"/>
          <w:left w:val="single" w:sz="4" w:space="4" w:color="auto"/>
          <w:bottom w:val="single" w:sz="4" w:space="1" w:color="auto"/>
          <w:right w:val="single" w:sz="4" w:space="4" w:color="auto"/>
        </w:pBdr>
      </w:pPr>
      <w:r>
        <w:t>3</w:t>
      </w:r>
      <w:r>
        <w:tab/>
        <w:t xml:space="preserve"> At least some band combinations across RATs should be coordinated across the master and the secondary nodes.</w:t>
      </w:r>
    </w:p>
    <w:p w14:paraId="100A8072" w14:textId="77777777" w:rsidR="00222458" w:rsidRDefault="00222458" w:rsidP="00222458">
      <w:pPr>
        <w:pStyle w:val="Doc-text2"/>
        <w:pBdr>
          <w:top w:val="single" w:sz="4" w:space="1" w:color="auto"/>
          <w:left w:val="single" w:sz="4" w:space="4" w:color="auto"/>
          <w:bottom w:val="single" w:sz="4" w:space="1" w:color="auto"/>
          <w:right w:val="single" w:sz="4" w:space="4" w:color="auto"/>
        </w:pBdr>
      </w:pPr>
      <w:r>
        <w:t>4</w:t>
      </w:r>
      <w:r>
        <w:tab/>
        <w:t>Layer 2 buffer capabilities should be coordinated across the RATs should be coordinated across the master and the secondary nodes.</w:t>
      </w:r>
    </w:p>
    <w:p w14:paraId="7DEE50D4" w14:textId="77777777" w:rsidR="00222458" w:rsidRDefault="00222458" w:rsidP="00222458">
      <w:pPr>
        <w:pStyle w:val="Doc-text2"/>
        <w:pBdr>
          <w:top w:val="single" w:sz="4" w:space="1" w:color="auto"/>
          <w:left w:val="single" w:sz="4" w:space="4" w:color="auto"/>
          <w:bottom w:val="single" w:sz="4" w:space="1" w:color="auto"/>
          <w:right w:val="single" w:sz="4" w:space="4" w:color="auto"/>
        </w:pBdr>
      </w:pPr>
      <w:r>
        <w:t xml:space="preserve">5: </w:t>
      </w:r>
      <w:r>
        <w:tab/>
        <w:t>RAN2 aim for a solution where the master node and secondary node are not required to comprehend each others UE configuration.</w:t>
      </w:r>
    </w:p>
    <w:p w14:paraId="3A9FD6CB" w14:textId="77777777" w:rsidR="00222458" w:rsidRDefault="00222458" w:rsidP="00222458"/>
    <w:p w14:paraId="20FFF44D" w14:textId="77777777" w:rsidR="00222458" w:rsidRDefault="00222458" w:rsidP="00222458">
      <w:pPr>
        <w:pStyle w:val="Doc-text2"/>
        <w:pBdr>
          <w:top w:val="single" w:sz="4" w:space="1" w:color="auto"/>
          <w:left w:val="single" w:sz="4" w:space="4" w:color="auto"/>
          <w:bottom w:val="single" w:sz="4" w:space="1" w:color="auto"/>
          <w:right w:val="single" w:sz="4" w:space="4" w:color="auto"/>
        </w:pBdr>
      </w:pPr>
      <w:r>
        <w:t>Agreements (</w:t>
      </w:r>
      <w:r>
        <w:rPr>
          <w:b/>
        </w:rPr>
        <w:t xml:space="preserve">referred to as </w:t>
      </w:r>
      <w:r w:rsidRPr="00222458">
        <w:rPr>
          <w:b/>
        </w:rPr>
        <w:t xml:space="preserve">Set </w:t>
      </w:r>
      <w:r>
        <w:rPr>
          <w:b/>
        </w:rPr>
        <w:t>2 in this contribution)</w:t>
      </w:r>
      <w:r>
        <w:t>:</w:t>
      </w:r>
    </w:p>
    <w:p w14:paraId="164BFD8D" w14:textId="77777777" w:rsidR="00222458" w:rsidRDefault="00222458" w:rsidP="00222458">
      <w:pPr>
        <w:pStyle w:val="Doc-text2"/>
        <w:pBdr>
          <w:top w:val="single" w:sz="4" w:space="1" w:color="auto"/>
          <w:left w:val="single" w:sz="4" w:space="4" w:color="auto"/>
          <w:bottom w:val="single" w:sz="4" w:space="1" w:color="auto"/>
          <w:right w:val="single" w:sz="4" w:space="4" w:color="auto"/>
        </w:pBdr>
      </w:pPr>
      <w:r>
        <w:t xml:space="preserve">1: Agree the following principle: the master node and the secondary node only need to use own RAT UE capabilities (which will include some </w:t>
      </w:r>
      <w:r w:rsidRPr="00A22EC0">
        <w:t xml:space="preserve">other RAT </w:t>
      </w:r>
      <w:r>
        <w:t>capabilities relating to the interworking). At least for the initial configuration of interworking case these are provided on the master node RAT or from core network</w:t>
      </w:r>
    </w:p>
    <w:p w14:paraId="7C4AB9F3" w14:textId="77777777" w:rsidR="00222458" w:rsidRDefault="00222458" w:rsidP="00222458">
      <w:pPr>
        <w:pStyle w:val="Doc-text2"/>
        <w:pBdr>
          <w:top w:val="single" w:sz="4" w:space="1" w:color="auto"/>
          <w:left w:val="single" w:sz="4" w:space="4" w:color="auto"/>
          <w:bottom w:val="single" w:sz="4" w:space="1" w:color="auto"/>
          <w:right w:val="single" w:sz="4" w:space="4" w:color="auto"/>
        </w:pBdr>
      </w:pPr>
      <w:r>
        <w:t>2: Allow gNB to format NR RRC PDUs for the UE configuration.</w:t>
      </w:r>
    </w:p>
    <w:p w14:paraId="59CC942A" w14:textId="77777777" w:rsidR="00222458" w:rsidRDefault="00222458" w:rsidP="00222458"/>
    <w:p w14:paraId="185CF6E3" w14:textId="1B79AB4D" w:rsidR="00222458" w:rsidRDefault="00222458" w:rsidP="00222458">
      <w:r>
        <w:t>The purpose of this contribution is</w:t>
      </w:r>
      <w:r w:rsidR="004F4A46">
        <w:t xml:space="preserve"> to expand the discussion on the capabilities in Agreements 3 and 4 so as to understand the NR specific aspects of these c</w:t>
      </w:r>
      <w:r>
        <w:t xml:space="preserve">apabilities </w:t>
      </w:r>
      <w:r w:rsidR="008920A6">
        <w:t>in the context of</w:t>
      </w:r>
      <w:r w:rsidR="004F4A46">
        <w:t xml:space="preserve"> </w:t>
      </w:r>
      <w:r>
        <w:t>LTE/NR tight interworking</w:t>
      </w:r>
      <w:r w:rsidR="004F4A46">
        <w:t>.</w:t>
      </w:r>
    </w:p>
    <w:p w14:paraId="41781DF5" w14:textId="53D8D1FF" w:rsidR="00CD4C7B" w:rsidRPr="006E13D1" w:rsidRDefault="00CD4C7B" w:rsidP="00CD4C7B">
      <w:pPr>
        <w:pStyle w:val="Heading1"/>
      </w:pPr>
      <w:r w:rsidRPr="006E13D1">
        <w:t>2</w:t>
      </w:r>
      <w:r w:rsidRPr="006E13D1">
        <w:tab/>
      </w:r>
      <w:r w:rsidR="00871E5C">
        <w:t xml:space="preserve">Recap </w:t>
      </w:r>
      <w:r w:rsidR="00BD1C65">
        <w:t xml:space="preserve">of </w:t>
      </w:r>
      <w:r w:rsidR="001276EA">
        <w:t xml:space="preserve">deployment </w:t>
      </w:r>
      <w:r w:rsidR="00BD1C65">
        <w:t>scenarios</w:t>
      </w:r>
    </w:p>
    <w:p w14:paraId="38222263" w14:textId="473A7F3B" w:rsidR="00222458" w:rsidRDefault="00222458" w:rsidP="00222458">
      <w:r>
        <w:t xml:space="preserve">The </w:t>
      </w:r>
      <w:r w:rsidRPr="00222458">
        <w:t>three deployment scenarios</w:t>
      </w:r>
      <w:r>
        <w:t xml:space="preserve"> that </w:t>
      </w:r>
      <w:r w:rsidR="001276EA">
        <w:t>were</w:t>
      </w:r>
      <w:r>
        <w:t xml:space="preserve"> agreed to be studied as part of LTE-NR tight interworking are shown in Figure 1 below. These correspond to the non-standalone </w:t>
      </w:r>
      <w:r w:rsidR="001276EA">
        <w:t xml:space="preserve">interworking </w:t>
      </w:r>
      <w:r>
        <w:t xml:space="preserve">scenarios captured in RP-161266 [1] </w:t>
      </w:r>
      <w:r w:rsidR="001276EA">
        <w:t>and number</w:t>
      </w:r>
      <w:r w:rsidR="00871E5C">
        <w:t>e</w:t>
      </w:r>
      <w:r w:rsidR="001276EA">
        <w:t xml:space="preserve">d as Options </w:t>
      </w:r>
      <w:r>
        <w:t>3, 4 and 7 respectively:</w:t>
      </w:r>
    </w:p>
    <w:p w14:paraId="108DF667" w14:textId="77777777" w:rsidR="00222458" w:rsidRDefault="00222458" w:rsidP="00222458">
      <w:r w:rsidRPr="00B529A9">
        <w:rPr>
          <w:lang w:val="en-IN"/>
        </w:rPr>
        <w:object w:dxaOrig="12815" w:dyaOrig="3922" w14:anchorId="3EDC7F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147.7pt" o:ole="">
            <v:imagedata r:id="rId7" o:title=""/>
          </v:shape>
          <o:OLEObject Type="Embed" ProgID="Visio.Drawing.11" ShapeID="_x0000_i1025" DrawAspect="Content" ObjectID="_1539778827" r:id="rId8"/>
        </w:object>
      </w:r>
    </w:p>
    <w:p w14:paraId="31327701" w14:textId="77777777" w:rsidR="00222458" w:rsidRDefault="00222458" w:rsidP="00222458">
      <w:pPr>
        <w:pStyle w:val="TH"/>
      </w:pPr>
      <w:r w:rsidRPr="00E74268">
        <w:t>Figure 1: LTE-NR tight interworking deployment</w:t>
      </w:r>
      <w:r>
        <w:t xml:space="preserve"> scenarios (RP-161266)</w:t>
      </w:r>
    </w:p>
    <w:p w14:paraId="780C33EE" w14:textId="25AD6E5C" w:rsidR="00CD4C7B" w:rsidRPr="006E13D1" w:rsidRDefault="00C940C6" w:rsidP="001B49C9">
      <w:r>
        <w:t>The discussion in this paper will cover all the above</w:t>
      </w:r>
      <w:r w:rsidR="001F3B2F">
        <w:t>-</w:t>
      </w:r>
      <w:r>
        <w:t xml:space="preserve">mentioned scenarios to be in line with </w:t>
      </w:r>
      <w:r w:rsidR="000F0A6B">
        <w:t>agreements listed in Set 1 and Set 2.</w:t>
      </w:r>
    </w:p>
    <w:p w14:paraId="0731381C" w14:textId="77777777" w:rsidR="00CD4C7B" w:rsidRDefault="00CD4C7B" w:rsidP="00CD4C7B">
      <w:pPr>
        <w:pStyle w:val="Heading1"/>
      </w:pPr>
      <w:r w:rsidRPr="006E13D1">
        <w:t>3</w:t>
      </w:r>
      <w:r w:rsidRPr="006E13D1">
        <w:tab/>
      </w:r>
      <w:r w:rsidR="00BD1C65">
        <w:t>NR capabilities associated with tight interworking</w:t>
      </w:r>
    </w:p>
    <w:p w14:paraId="06424D63" w14:textId="77777777" w:rsidR="002A4007" w:rsidRDefault="002A4007" w:rsidP="002A4007">
      <w:pPr>
        <w:pStyle w:val="Doc-text2"/>
        <w:pBdr>
          <w:top w:val="single" w:sz="4" w:space="1" w:color="auto"/>
          <w:left w:val="single" w:sz="4" w:space="4" w:color="auto"/>
          <w:bottom w:val="single" w:sz="4" w:space="1" w:color="auto"/>
          <w:right w:val="single" w:sz="4" w:space="4" w:color="auto"/>
        </w:pBdr>
      </w:pPr>
      <w:r>
        <w:t>3</w:t>
      </w:r>
      <w:r>
        <w:tab/>
        <w:t xml:space="preserve"> At least some band combinations across RATs should be coordinated across the master and the secondary nodes.</w:t>
      </w:r>
    </w:p>
    <w:p w14:paraId="389F7FD2" w14:textId="77777777" w:rsidR="002A4007" w:rsidRDefault="002A4007" w:rsidP="002A4007">
      <w:pPr>
        <w:pStyle w:val="Doc-text2"/>
        <w:pBdr>
          <w:top w:val="single" w:sz="4" w:space="1" w:color="auto"/>
          <w:left w:val="single" w:sz="4" w:space="4" w:color="auto"/>
          <w:bottom w:val="single" w:sz="4" w:space="1" w:color="auto"/>
          <w:right w:val="single" w:sz="4" w:space="4" w:color="auto"/>
        </w:pBdr>
      </w:pPr>
      <w:r>
        <w:t>4</w:t>
      </w:r>
      <w:r>
        <w:tab/>
        <w:t>Layer 2 buffer capabilities should be coordinated across the RATs should be coordinated across the master and the secondary nodes.</w:t>
      </w:r>
    </w:p>
    <w:p w14:paraId="59F75F3F" w14:textId="77777777" w:rsidR="002A4007" w:rsidRDefault="002A4007" w:rsidP="002A4007"/>
    <w:p w14:paraId="020DEA6D" w14:textId="096F7A8B" w:rsidR="002A4007" w:rsidRDefault="002A4007" w:rsidP="002A4007">
      <w:r>
        <w:t>We use the agreements 3 and 4 listed above as the starting point for our discussions. We discus</w:t>
      </w:r>
      <w:r w:rsidR="001276EA">
        <w:t xml:space="preserve">s </w:t>
      </w:r>
      <w:r>
        <w:t xml:space="preserve">Agreement 3 and 4 in separate sections below because they </w:t>
      </w:r>
      <w:r w:rsidR="001F3B2F">
        <w:t>relate</w:t>
      </w:r>
      <w:r>
        <w:t xml:space="preserve"> to different aspects of the UE capabilities:</w:t>
      </w:r>
    </w:p>
    <w:p w14:paraId="6AE718B5" w14:textId="77777777" w:rsidR="00CD4C7B" w:rsidRPr="006E13D1" w:rsidRDefault="00CD4C7B" w:rsidP="00CD4C7B">
      <w:pPr>
        <w:pStyle w:val="Heading2"/>
      </w:pPr>
      <w:r w:rsidRPr="006E13D1">
        <w:t>3.1</w:t>
      </w:r>
      <w:r w:rsidRPr="006E13D1">
        <w:tab/>
      </w:r>
      <w:r w:rsidR="00D855C6">
        <w:t xml:space="preserve">On the modelling of </w:t>
      </w:r>
      <w:r w:rsidR="008E3AD6">
        <w:t>NR RF carrier and band combinations</w:t>
      </w:r>
    </w:p>
    <w:p w14:paraId="3EABD20A" w14:textId="2DD1C24F" w:rsidR="008E3AD6" w:rsidRDefault="008E3AD6" w:rsidP="008E3AD6">
      <w:r>
        <w:t xml:space="preserve">Of the many questions that </w:t>
      </w:r>
      <w:r w:rsidR="001F3B2F">
        <w:t>appear</w:t>
      </w:r>
      <w:r>
        <w:t>, we would like to discuss at least the following</w:t>
      </w:r>
      <w:r w:rsidR="001276EA">
        <w:t xml:space="preserve"> </w:t>
      </w:r>
      <w:r w:rsidR="001F3B2F">
        <w:t xml:space="preserve">ones </w:t>
      </w:r>
      <w:r w:rsidR="001276EA">
        <w:t>as a starting point</w:t>
      </w:r>
      <w:r w:rsidR="004557F5">
        <w:t>:</w:t>
      </w:r>
    </w:p>
    <w:p w14:paraId="60A5A4F8" w14:textId="5F329B55" w:rsidR="008E3AD6" w:rsidRPr="008E3AD6" w:rsidRDefault="008E3AD6" w:rsidP="008E3AD6">
      <w:pPr>
        <w:rPr>
          <w:b/>
        </w:rPr>
      </w:pPr>
      <w:r w:rsidRPr="008E3AD6">
        <w:rPr>
          <w:b/>
        </w:rPr>
        <w:t xml:space="preserve">Question 1: What is the number of NR carriers that a UE </w:t>
      </w:r>
      <w:r w:rsidR="001276EA">
        <w:rPr>
          <w:b/>
        </w:rPr>
        <w:t>can</w:t>
      </w:r>
      <w:r w:rsidRPr="008E3AD6">
        <w:rPr>
          <w:b/>
        </w:rPr>
        <w:t xml:space="preserve"> support?</w:t>
      </w:r>
    </w:p>
    <w:p w14:paraId="4DB6A80B" w14:textId="337DFFB8" w:rsidR="00CD4C7B" w:rsidRDefault="008E3AD6" w:rsidP="008E3AD6">
      <w:pPr>
        <w:pStyle w:val="B1"/>
        <w:ind w:left="0" w:firstLine="0"/>
        <w:rPr>
          <w:b/>
        </w:rPr>
      </w:pPr>
      <w:r w:rsidRPr="008E3AD6">
        <w:rPr>
          <w:b/>
        </w:rPr>
        <w:t xml:space="preserve">Question 2: What are the </w:t>
      </w:r>
      <w:r w:rsidR="00842092">
        <w:rPr>
          <w:b/>
        </w:rPr>
        <w:t>expected</w:t>
      </w:r>
      <w:r w:rsidRPr="008E3AD6">
        <w:rPr>
          <w:b/>
        </w:rPr>
        <w:t xml:space="preserve"> combinations of these carriers</w:t>
      </w:r>
      <w:r w:rsidR="005C53F9">
        <w:rPr>
          <w:b/>
        </w:rPr>
        <w:t xml:space="preserve"> (and bands)</w:t>
      </w:r>
      <w:r w:rsidRPr="008E3AD6">
        <w:rPr>
          <w:b/>
        </w:rPr>
        <w:t xml:space="preserve"> between LTE and NR?</w:t>
      </w:r>
    </w:p>
    <w:p w14:paraId="64A5504F" w14:textId="3A80C38B" w:rsidR="004C5929" w:rsidRPr="006E13D1" w:rsidRDefault="004C5929" w:rsidP="003F3271">
      <w:pPr>
        <w:pStyle w:val="Heading3"/>
      </w:pPr>
      <w:r w:rsidRPr="006E13D1">
        <w:t>3.1</w:t>
      </w:r>
      <w:r>
        <w:t>.1</w:t>
      </w:r>
      <w:r w:rsidRPr="006E13D1">
        <w:tab/>
      </w:r>
      <w:r>
        <w:t>Question 1: Number of NR carriers</w:t>
      </w:r>
    </w:p>
    <w:p w14:paraId="735981B0" w14:textId="63181EC6" w:rsidR="008E3AD6" w:rsidRDefault="004C5929" w:rsidP="008E3AD6">
      <w:pPr>
        <w:pStyle w:val="B1"/>
        <w:ind w:left="0" w:firstLine="0"/>
      </w:pPr>
      <w:r>
        <w:t>I</w:t>
      </w:r>
      <w:r w:rsidR="008E3AD6">
        <w:t>t is understood that NR will operate in low</w:t>
      </w:r>
      <w:r w:rsidR="00C52E67">
        <w:t xml:space="preserve"> frequencies</w:t>
      </w:r>
      <w:r w:rsidR="008E3AD6">
        <w:t xml:space="preserve"> (below 6 GHz) and high frequencies (above 6 GHz potentially up to 40 GHz with initial deployments happening in the 20+ GHz bands)</w:t>
      </w:r>
      <w:r w:rsidR="00C52E67">
        <w:t>, whereas LTE will operate below 6 GHz</w:t>
      </w:r>
      <w:r w:rsidR="008E3AD6">
        <w:t>. It is well-know</w:t>
      </w:r>
      <w:r w:rsidR="008179C6">
        <w:t>n</w:t>
      </w:r>
      <w:r w:rsidR="008E3AD6">
        <w:t xml:space="preserve"> that the </w:t>
      </w:r>
      <w:r w:rsidR="00842092">
        <w:t xml:space="preserve">RF techniques </w:t>
      </w:r>
      <w:r w:rsidR="008E3AD6">
        <w:t xml:space="preserve">for </w:t>
      </w:r>
      <w:r w:rsidR="007460E4">
        <w:t>below</w:t>
      </w:r>
      <w:r w:rsidR="00C52E67">
        <w:t xml:space="preserve"> 6 GHz </w:t>
      </w:r>
      <w:r w:rsidR="008E3AD6">
        <w:t xml:space="preserve">and </w:t>
      </w:r>
      <w:r w:rsidR="007460E4">
        <w:t>above</w:t>
      </w:r>
      <w:r w:rsidR="00C52E67">
        <w:t xml:space="preserve"> 6 GHz </w:t>
      </w:r>
      <w:r w:rsidR="008E3AD6">
        <w:t>operation</w:t>
      </w:r>
      <w:r w:rsidR="00842092">
        <w:t>s</w:t>
      </w:r>
      <w:r w:rsidR="008E3AD6">
        <w:t xml:space="preserve"> are quite different and </w:t>
      </w:r>
      <w:r w:rsidR="00842092">
        <w:t xml:space="preserve">therefore </w:t>
      </w:r>
      <w:r w:rsidR="008E3AD6">
        <w:t xml:space="preserve">we </w:t>
      </w:r>
      <w:r w:rsidR="008179C6">
        <w:t>may</w:t>
      </w:r>
      <w:r w:rsidR="008E3AD6">
        <w:t xml:space="preserve"> attempt to split the discussion into 2 constituent parts:</w:t>
      </w:r>
      <w:r w:rsidR="004557F5">
        <w:t xml:space="preserve"> NR operation below and above 6 GHz.</w:t>
      </w:r>
    </w:p>
    <w:p w14:paraId="4BD13905" w14:textId="3991B372" w:rsidR="008E3AD6" w:rsidRDefault="008E3AD6" w:rsidP="008E3AD6">
      <w:pPr>
        <w:pStyle w:val="B1"/>
        <w:ind w:left="0" w:firstLine="0"/>
      </w:pPr>
      <w:r w:rsidRPr="003F3271">
        <w:rPr>
          <w:u w:val="single"/>
        </w:rPr>
        <w:t xml:space="preserve">For NR </w:t>
      </w:r>
      <w:r w:rsidR="007460E4" w:rsidRPr="003F3271">
        <w:rPr>
          <w:u w:val="single"/>
        </w:rPr>
        <w:t>below</w:t>
      </w:r>
      <w:r w:rsidR="00C52E67" w:rsidRPr="003F3271">
        <w:rPr>
          <w:u w:val="single"/>
        </w:rPr>
        <w:t xml:space="preserve"> 6 GHz</w:t>
      </w:r>
      <w:r w:rsidRPr="003F3271">
        <w:rPr>
          <w:u w:val="single"/>
        </w:rPr>
        <w:t xml:space="preserve"> operation</w:t>
      </w:r>
      <w:r w:rsidR="004557F5">
        <w:rPr>
          <w:u w:val="single"/>
        </w:rPr>
        <w:t>:</w:t>
      </w:r>
      <w:r w:rsidRPr="008E3AD6">
        <w:t xml:space="preserve"> </w:t>
      </w:r>
      <w:r w:rsidR="004557F5">
        <w:t>A</w:t>
      </w:r>
      <w:r>
        <w:t xml:space="preserve">s far as the frequency bands and combinations are concerned, </w:t>
      </w:r>
      <w:r w:rsidR="00EA6667">
        <w:t xml:space="preserve">NR is expected to </w:t>
      </w:r>
      <w:r w:rsidR="00607E5C">
        <w:t>retain</w:t>
      </w:r>
      <w:r w:rsidR="00607E5C" w:rsidRPr="00607E5C">
        <w:t xml:space="preserve"> the carrier aggregation scenarios with multiple bands and multiple carriers (contiguous or non-contiguous) in each band</w:t>
      </w:r>
      <w:r w:rsidR="00B97D62">
        <w:t xml:space="preserve"> as was discussed in</w:t>
      </w:r>
      <w:r w:rsidR="00EA6667">
        <w:t xml:space="preserve"> LTE</w:t>
      </w:r>
      <w:r w:rsidR="00607E5C" w:rsidRPr="00607E5C">
        <w:t>.</w:t>
      </w:r>
      <w:r w:rsidR="009600AC">
        <w:t xml:space="preserve"> </w:t>
      </w:r>
      <w:r w:rsidR="004557F5">
        <w:t>However, i</w:t>
      </w:r>
      <w:r w:rsidR="009600AC">
        <w:t xml:space="preserve">t </w:t>
      </w:r>
      <w:r w:rsidR="001F3B2F">
        <w:t>is worth noting</w:t>
      </w:r>
      <w:r w:rsidR="009600AC">
        <w:t xml:space="preserve"> that the initial assumptions in LTE are quite different from NR (e.g. </w:t>
      </w:r>
      <w:r w:rsidR="001F3B2F">
        <w:t xml:space="preserve">in terms of </w:t>
      </w:r>
      <w:r w:rsidR="006D0A5B">
        <w:t xml:space="preserve">system </w:t>
      </w:r>
      <w:r w:rsidR="001F3B2F">
        <w:t xml:space="preserve">bandwidth </w:t>
      </w:r>
      <w:r w:rsidR="006D0A5B">
        <w:t xml:space="preserve">and carrier bandwidth </w:t>
      </w:r>
      <w:r w:rsidR="001F3B2F">
        <w:t xml:space="preserve">as </w:t>
      </w:r>
      <w:r w:rsidR="006D0A5B">
        <w:t>absolute values)</w:t>
      </w:r>
      <w:r w:rsidR="006C192D">
        <w:t>,</w:t>
      </w:r>
      <w:r w:rsidR="004557F5">
        <w:t xml:space="preserve"> </w:t>
      </w:r>
      <w:r w:rsidR="006C192D">
        <w:t>so</w:t>
      </w:r>
      <w:r w:rsidR="00B97D62">
        <w:t xml:space="preserve"> </w:t>
      </w:r>
      <w:r w:rsidR="004557F5">
        <w:t>t</w:t>
      </w:r>
      <w:r w:rsidR="00412F66">
        <w:t>he UE capability signalling</w:t>
      </w:r>
      <w:r w:rsidR="00B97D62">
        <w:t xml:space="preserve"> </w:t>
      </w:r>
      <w:r w:rsidR="001F3B2F">
        <w:t xml:space="preserve">should </w:t>
      </w:r>
      <w:r w:rsidR="00B97D62">
        <w:t>be optimized considering that the channel bandwidth considerations for NR will be quite different from LTE</w:t>
      </w:r>
      <w:r w:rsidR="006C192D">
        <w:t xml:space="preserve"> (e.g. due to different numerologies).</w:t>
      </w:r>
      <w:r w:rsidR="00B97D62">
        <w:t xml:space="preserve"> </w:t>
      </w:r>
    </w:p>
    <w:p w14:paraId="6F703748" w14:textId="30ADA6A4" w:rsidR="009600AC" w:rsidRDefault="009600AC" w:rsidP="008E3AD6">
      <w:pPr>
        <w:pStyle w:val="B1"/>
        <w:ind w:left="0" w:firstLine="0"/>
      </w:pPr>
      <w:r w:rsidRPr="00FC5DAF">
        <w:rPr>
          <w:b/>
        </w:rPr>
        <w:t xml:space="preserve">Observation </w:t>
      </w:r>
      <w:r w:rsidR="008D2E73">
        <w:rPr>
          <w:b/>
        </w:rPr>
        <w:t>1</w:t>
      </w:r>
      <w:r w:rsidRPr="00FC5DAF">
        <w:rPr>
          <w:b/>
        </w:rPr>
        <w:t xml:space="preserve">: </w:t>
      </w:r>
      <w:r>
        <w:rPr>
          <w:b/>
        </w:rPr>
        <w:t xml:space="preserve">The modelling </w:t>
      </w:r>
      <w:r w:rsidR="001F3B2F">
        <w:rPr>
          <w:b/>
        </w:rPr>
        <w:t xml:space="preserve">of </w:t>
      </w:r>
      <w:r>
        <w:rPr>
          <w:b/>
        </w:rPr>
        <w:t>NR RF capabilities below 6 GHz does not necessarily follow from the LTE reporting mechanisms.</w:t>
      </w:r>
    </w:p>
    <w:p w14:paraId="348546DD" w14:textId="490AE2A2" w:rsidR="001E2090" w:rsidRDefault="006827B1" w:rsidP="008E3AD6">
      <w:pPr>
        <w:pStyle w:val="B1"/>
        <w:ind w:left="0" w:firstLine="0"/>
      </w:pPr>
      <w:r w:rsidRPr="003F3271">
        <w:rPr>
          <w:u w:val="single"/>
        </w:rPr>
        <w:t xml:space="preserve">For NR </w:t>
      </w:r>
      <w:r w:rsidR="007460E4" w:rsidRPr="003F3271">
        <w:rPr>
          <w:u w:val="single"/>
        </w:rPr>
        <w:t>above</w:t>
      </w:r>
      <w:r w:rsidR="00C52E67" w:rsidRPr="003F3271">
        <w:rPr>
          <w:u w:val="single"/>
        </w:rPr>
        <w:t xml:space="preserve"> 6 GHz</w:t>
      </w:r>
      <w:r w:rsidRPr="003F3271">
        <w:rPr>
          <w:u w:val="single"/>
        </w:rPr>
        <w:t xml:space="preserve"> operation</w:t>
      </w:r>
      <w:r w:rsidR="004557F5">
        <w:t>:</w:t>
      </w:r>
      <w:r>
        <w:t xml:space="preserve"> </w:t>
      </w:r>
      <w:r w:rsidR="006C192D">
        <w:t>T</w:t>
      </w:r>
      <w:r w:rsidR="004557F5">
        <w:t xml:space="preserve">he </w:t>
      </w:r>
      <w:r w:rsidR="00EA6667">
        <w:t xml:space="preserve">RF issues </w:t>
      </w:r>
      <w:r w:rsidR="006C192D">
        <w:t xml:space="preserve">compared to LTE </w:t>
      </w:r>
      <w:r w:rsidR="00EA6667">
        <w:t xml:space="preserve">are </w:t>
      </w:r>
      <w:r>
        <w:t>more complex</w:t>
      </w:r>
      <w:r w:rsidR="00EA6667">
        <w:t xml:space="preserve"> in a sense</w:t>
      </w:r>
      <w:r w:rsidR="006C192D">
        <w:t xml:space="preserve"> since LTE never considered high frequency bands and</w:t>
      </w:r>
      <w:r>
        <w:t xml:space="preserve"> NR </w:t>
      </w:r>
      <w:r w:rsidR="007460E4">
        <w:t>above</w:t>
      </w:r>
      <w:r w:rsidR="003911DD">
        <w:t xml:space="preserve"> 6 GHz</w:t>
      </w:r>
      <w:r>
        <w:t xml:space="preserve"> </w:t>
      </w:r>
      <w:r w:rsidR="00EA6667">
        <w:t xml:space="preserve">offers more alternative parametrizations to work with. </w:t>
      </w:r>
      <w:r w:rsidR="00D9615A">
        <w:t xml:space="preserve">As an example, </w:t>
      </w:r>
      <w:r w:rsidR="00EA6667">
        <w:t xml:space="preserve">RF </w:t>
      </w:r>
      <w:r>
        <w:t>c</w:t>
      </w:r>
      <w:r w:rsidR="006C192D">
        <w:t>ould</w:t>
      </w:r>
      <w:r>
        <w:t xml:space="preserve"> be </w:t>
      </w:r>
      <w:r w:rsidR="00EA6667">
        <w:t xml:space="preserve">configured </w:t>
      </w:r>
      <w:r w:rsidR="001F3B2F">
        <w:t xml:space="preserve">as </w:t>
      </w:r>
      <w:r>
        <w:t xml:space="preserve">a single wideband carrier or </w:t>
      </w:r>
      <w:r w:rsidR="001F3B2F">
        <w:t xml:space="preserve">as </w:t>
      </w:r>
      <w:r w:rsidRPr="006827B1">
        <w:t>multiple contiguous component carriers</w:t>
      </w:r>
      <w:r w:rsidR="006C192D">
        <w:t>, both covering the same total bandwidth</w:t>
      </w:r>
      <w:r>
        <w:t xml:space="preserve">. Because of the extremely high bandwidth range of NR </w:t>
      </w:r>
      <w:r w:rsidR="007460E4">
        <w:t>above</w:t>
      </w:r>
      <w:r w:rsidR="00C52E67">
        <w:t xml:space="preserve"> 6 GHz</w:t>
      </w:r>
      <w:r>
        <w:t xml:space="preserve"> operation, the UE capability might just report the supported frequency range and </w:t>
      </w:r>
      <w:r w:rsidR="00D9615A">
        <w:t xml:space="preserve">the </w:t>
      </w:r>
      <w:r>
        <w:t>maximum bandwidth (</w:t>
      </w:r>
      <w:r w:rsidR="00D9615A">
        <w:t>for its configured use by</w:t>
      </w:r>
      <w:r>
        <w:t xml:space="preserve"> </w:t>
      </w:r>
      <w:r w:rsidR="00D9615A">
        <w:t xml:space="preserve">a </w:t>
      </w:r>
      <w:r>
        <w:t xml:space="preserve">single wideband carrier or </w:t>
      </w:r>
      <w:r w:rsidRPr="006827B1">
        <w:t>multiple contiguous component carriers</w:t>
      </w:r>
      <w:r>
        <w:t xml:space="preserve">) rather than </w:t>
      </w:r>
      <w:r w:rsidR="00D9615A">
        <w:t xml:space="preserve">listing </w:t>
      </w:r>
      <w:r>
        <w:t xml:space="preserve">all possible combinations. </w:t>
      </w:r>
      <w:r w:rsidR="00231497">
        <w:t xml:space="preserve">A case </w:t>
      </w:r>
      <w:r w:rsidR="003911DD">
        <w:t>straight to the</w:t>
      </w:r>
      <w:r w:rsidR="00231497">
        <w:t xml:space="preserve"> point is</w:t>
      </w:r>
      <w:r>
        <w:t xml:space="preserve"> the NR </w:t>
      </w:r>
      <w:r w:rsidR="007460E4">
        <w:t>above</w:t>
      </w:r>
      <w:r w:rsidR="00C52E67">
        <w:t xml:space="preserve"> 6 GHz</w:t>
      </w:r>
      <w:r>
        <w:t xml:space="preserve"> band at 28 GHz</w:t>
      </w:r>
      <w:r w:rsidR="001F3B2F">
        <w:t>,</w:t>
      </w:r>
      <w:r>
        <w:t xml:space="preserve"> </w:t>
      </w:r>
      <w:r w:rsidR="00231497">
        <w:t>which in itself i</w:t>
      </w:r>
      <w:r>
        <w:t xml:space="preserve">s quite wide enough to warrant a different </w:t>
      </w:r>
      <w:r>
        <w:lastRenderedPageBreak/>
        <w:t>frequency range</w:t>
      </w:r>
      <w:r w:rsidR="006D3320">
        <w:t xml:space="preserve"> (i.e. sub-band)</w:t>
      </w:r>
      <w:r>
        <w:t xml:space="preserve"> in a given region. It might just be</w:t>
      </w:r>
      <w:r w:rsidR="00D9615A">
        <w:t xml:space="preserve"> impracticable</w:t>
      </w:r>
      <w:r>
        <w:t xml:space="preserve"> to cover the entire range </w:t>
      </w:r>
      <w:r w:rsidR="00D9615A">
        <w:t xml:space="preserve">of combinations </w:t>
      </w:r>
      <w:r>
        <w:t xml:space="preserve">without </w:t>
      </w:r>
      <w:r w:rsidR="00D9615A">
        <w:t>having</w:t>
      </w:r>
      <w:r>
        <w:t xml:space="preserve"> </w:t>
      </w:r>
      <w:r w:rsidR="00D9615A">
        <w:t xml:space="preserve">an </w:t>
      </w:r>
      <w:r>
        <w:t>excessive</w:t>
      </w:r>
      <w:r w:rsidR="00D9615A">
        <w:t>ly large and nested</w:t>
      </w:r>
      <w:r>
        <w:t xml:space="preserve"> </w:t>
      </w:r>
      <w:r w:rsidR="00D9615A">
        <w:t xml:space="preserve">UE </w:t>
      </w:r>
      <w:r>
        <w:t xml:space="preserve">capability container. </w:t>
      </w:r>
      <w:r w:rsidRPr="006827B1">
        <w:t xml:space="preserve">In that case, we could introduce sub-bands or explicit frequency </w:t>
      </w:r>
      <w:r w:rsidR="001E2090" w:rsidRPr="006827B1">
        <w:t>signalling</w:t>
      </w:r>
      <w:r w:rsidRPr="006827B1">
        <w:t xml:space="preserve"> rather than the simple band indicator </w:t>
      </w:r>
      <w:r w:rsidR="001E2090" w:rsidRPr="006827B1">
        <w:t>signalling</w:t>
      </w:r>
      <w:r w:rsidR="00D9615A">
        <w:t xml:space="preserve"> used for LTE</w:t>
      </w:r>
      <w:r w:rsidR="001E2090">
        <w:t xml:space="preserve">. </w:t>
      </w:r>
      <w:r w:rsidR="00231497">
        <w:t xml:space="preserve"> </w:t>
      </w:r>
      <w:r w:rsidR="00D9615A">
        <w:t>I</w:t>
      </w:r>
      <w:r w:rsidR="001E2090">
        <w:t xml:space="preserve">n addition to the above discussion, it </w:t>
      </w:r>
      <w:r w:rsidR="001F3B2F">
        <w:t>is worth noting</w:t>
      </w:r>
      <w:r w:rsidR="001E2090">
        <w:t xml:space="preserve"> </w:t>
      </w:r>
      <w:r w:rsidR="001E2090" w:rsidRPr="00ED0E69">
        <w:t xml:space="preserve">that </w:t>
      </w:r>
      <w:r w:rsidR="001E2090" w:rsidRPr="008F27D4">
        <w:t xml:space="preserve">it </w:t>
      </w:r>
      <w:r w:rsidR="00D9615A" w:rsidRPr="008F27D4">
        <w:t xml:space="preserve">is </w:t>
      </w:r>
      <w:r w:rsidR="001E2090" w:rsidRPr="008F27D4">
        <w:t>too early to say</w:t>
      </w:r>
      <w:r w:rsidR="001E2090" w:rsidRPr="00ED0E69">
        <w:t xml:space="preserve"> if</w:t>
      </w:r>
      <w:r w:rsidR="001E2090">
        <w:t xml:space="preserve"> the support of non-contiguous </w:t>
      </w:r>
      <w:r w:rsidR="004C5929">
        <w:t xml:space="preserve">(intra-band) </w:t>
      </w:r>
      <w:r w:rsidR="001E2090">
        <w:t xml:space="preserve">carrier aggregation is </w:t>
      </w:r>
      <w:r w:rsidR="00D9615A">
        <w:t>actually</w:t>
      </w:r>
      <w:r w:rsidR="001E2090">
        <w:t xml:space="preserve"> feasible in the NR </w:t>
      </w:r>
      <w:r w:rsidR="007460E4">
        <w:t>above</w:t>
      </w:r>
      <w:r w:rsidR="003911DD">
        <w:t xml:space="preserve"> 6 GHz</w:t>
      </w:r>
      <w:r w:rsidR="001E2090">
        <w:t xml:space="preserve"> bands. Hence, a single wideband carrier or </w:t>
      </w:r>
      <w:r w:rsidR="001F3B2F">
        <w:t xml:space="preserve">a set of </w:t>
      </w:r>
      <w:r w:rsidR="001E2090">
        <w:t xml:space="preserve">contiguous </w:t>
      </w:r>
      <w:r w:rsidR="00D9615A">
        <w:t xml:space="preserve">component </w:t>
      </w:r>
      <w:r w:rsidR="001E2090">
        <w:t>carriers seems feasible to start with.</w:t>
      </w:r>
    </w:p>
    <w:p w14:paraId="3C49194D" w14:textId="454BA91C" w:rsidR="009600AC" w:rsidRDefault="009600AC" w:rsidP="008E3AD6">
      <w:pPr>
        <w:pStyle w:val="B1"/>
        <w:ind w:left="0" w:firstLine="0"/>
        <w:rPr>
          <w:b/>
        </w:rPr>
      </w:pPr>
      <w:r w:rsidRPr="00FC5DAF">
        <w:rPr>
          <w:b/>
        </w:rPr>
        <w:t xml:space="preserve">Observation </w:t>
      </w:r>
      <w:r w:rsidR="008D2E73">
        <w:rPr>
          <w:b/>
        </w:rPr>
        <w:t>2</w:t>
      </w:r>
      <w:r w:rsidRPr="00FC5DAF">
        <w:rPr>
          <w:b/>
        </w:rPr>
        <w:t xml:space="preserve">: </w:t>
      </w:r>
      <w:r>
        <w:rPr>
          <w:b/>
        </w:rPr>
        <w:t xml:space="preserve">The modelling </w:t>
      </w:r>
      <w:r w:rsidR="001F3B2F">
        <w:rPr>
          <w:b/>
        </w:rPr>
        <w:t xml:space="preserve">of </w:t>
      </w:r>
      <w:r>
        <w:rPr>
          <w:b/>
        </w:rPr>
        <w:t xml:space="preserve">NR RF capabilities above 6 GHz allows </w:t>
      </w:r>
      <w:r w:rsidR="001F3B2F">
        <w:rPr>
          <w:b/>
        </w:rPr>
        <w:t xml:space="preserve">choices for </w:t>
      </w:r>
      <w:r>
        <w:rPr>
          <w:b/>
        </w:rPr>
        <w:t>higher degree of simplification</w:t>
      </w:r>
      <w:r w:rsidR="00A120DD">
        <w:rPr>
          <w:b/>
        </w:rPr>
        <w:t xml:space="preserve">; e.g.  </w:t>
      </w:r>
      <w:r w:rsidR="002C63A2">
        <w:rPr>
          <w:b/>
        </w:rPr>
        <w:t>The</w:t>
      </w:r>
      <w:r w:rsidR="001F3B2F">
        <w:rPr>
          <w:b/>
        </w:rPr>
        <w:t xml:space="preserve"> RF capability </w:t>
      </w:r>
      <w:r w:rsidR="00A120DD">
        <w:rPr>
          <w:b/>
        </w:rPr>
        <w:t xml:space="preserve">could be limited to the supported frequency range and </w:t>
      </w:r>
      <w:r w:rsidR="001F3B2F">
        <w:rPr>
          <w:b/>
        </w:rPr>
        <w:t xml:space="preserve">the </w:t>
      </w:r>
      <w:r w:rsidR="00A120DD" w:rsidRPr="00223D22">
        <w:rPr>
          <w:b/>
        </w:rPr>
        <w:t>maximum bandwidth</w:t>
      </w:r>
      <w:r w:rsidR="00A120DD">
        <w:rPr>
          <w:b/>
        </w:rPr>
        <w:t xml:space="preserve"> rather than </w:t>
      </w:r>
      <w:r w:rsidR="000C7EA6">
        <w:rPr>
          <w:b/>
        </w:rPr>
        <w:t xml:space="preserve">covering </w:t>
      </w:r>
      <w:r w:rsidR="00A120DD">
        <w:rPr>
          <w:b/>
        </w:rPr>
        <w:t xml:space="preserve">all possible </w:t>
      </w:r>
      <w:r w:rsidR="000C7EA6">
        <w:rPr>
          <w:b/>
        </w:rPr>
        <w:t xml:space="preserve">carrier </w:t>
      </w:r>
      <w:r w:rsidR="00A120DD">
        <w:rPr>
          <w:b/>
        </w:rPr>
        <w:t>combinations</w:t>
      </w:r>
      <w:r w:rsidR="00C02444">
        <w:rPr>
          <w:b/>
        </w:rPr>
        <w:t>.</w:t>
      </w:r>
    </w:p>
    <w:p w14:paraId="1BC7570F" w14:textId="25CF2FAB" w:rsidR="00A120DD" w:rsidRDefault="00A120DD" w:rsidP="00A120DD">
      <w:pPr>
        <w:pStyle w:val="B1"/>
        <w:ind w:left="0" w:firstLine="0"/>
        <w:rPr>
          <w:b/>
        </w:rPr>
      </w:pPr>
      <w:r>
        <w:rPr>
          <w:b/>
        </w:rPr>
        <w:t xml:space="preserve">Observation </w:t>
      </w:r>
      <w:r w:rsidR="008D2E73">
        <w:rPr>
          <w:b/>
        </w:rPr>
        <w:t>3</w:t>
      </w:r>
      <w:r>
        <w:rPr>
          <w:b/>
        </w:rPr>
        <w:t>: For NR above 6 GHz operation, a sub-band reporting or explicit frequency reporting may be considered</w:t>
      </w:r>
      <w:r w:rsidR="000C7EA6">
        <w:rPr>
          <w:b/>
        </w:rPr>
        <w:t>, in order</w:t>
      </w:r>
      <w:r>
        <w:rPr>
          <w:b/>
        </w:rPr>
        <w:t xml:space="preserve"> to avoid reporting unallocated bands components. </w:t>
      </w:r>
    </w:p>
    <w:p w14:paraId="77FC6226" w14:textId="46A56B33" w:rsidR="006167E7" w:rsidRDefault="00A23AE0" w:rsidP="00A23AE0">
      <w:pPr>
        <w:pStyle w:val="B1"/>
        <w:ind w:left="0" w:firstLine="0"/>
      </w:pPr>
      <w:r>
        <w:t xml:space="preserve">The discussion on Question 1 is rather incomplete without touching </w:t>
      </w:r>
      <w:r w:rsidR="00D9615A">
        <w:t xml:space="preserve">the </w:t>
      </w:r>
      <w:r>
        <w:t xml:space="preserve">RF </w:t>
      </w:r>
      <w:r w:rsidR="00CC2245">
        <w:t>realization</w:t>
      </w:r>
      <w:r w:rsidR="00D9615A">
        <w:t xml:space="preserve"> by </w:t>
      </w:r>
      <w:r>
        <w:t xml:space="preserve">hardware components. It is </w:t>
      </w:r>
      <w:r w:rsidR="00F94673">
        <w:t xml:space="preserve">assumed </w:t>
      </w:r>
      <w:r>
        <w:t xml:space="preserve">that NR </w:t>
      </w:r>
      <w:r w:rsidR="007460E4">
        <w:t>above</w:t>
      </w:r>
      <w:r w:rsidR="00C52E67">
        <w:t xml:space="preserve"> 6 GHz</w:t>
      </w:r>
      <w:r w:rsidR="00D9615A">
        <w:t xml:space="preserve"> front</w:t>
      </w:r>
      <w:r w:rsidR="000C7EA6">
        <w:t>-</w:t>
      </w:r>
      <w:r w:rsidR="00D9615A">
        <w:t>end</w:t>
      </w:r>
      <w:r>
        <w:t xml:space="preserve"> component</w:t>
      </w:r>
      <w:r w:rsidR="00CC2245">
        <w:t xml:space="preserve"> realization</w:t>
      </w:r>
      <w:r>
        <w:t>s like antenna</w:t>
      </w:r>
      <w:r w:rsidR="00CC2245">
        <w:t>s</w:t>
      </w:r>
      <w:r>
        <w:t>, amplifiers, filter</w:t>
      </w:r>
      <w:r w:rsidR="00D9615A">
        <w:t>s</w:t>
      </w:r>
      <w:r>
        <w:t xml:space="preserve"> and transceivers are not tightly coupled with </w:t>
      </w:r>
      <w:r w:rsidR="007460E4">
        <w:t>below</w:t>
      </w:r>
      <w:r w:rsidR="00C52E67">
        <w:t xml:space="preserve"> 6 GHz</w:t>
      </w:r>
      <w:r w:rsidR="00D9615A">
        <w:t xml:space="preserve"> </w:t>
      </w:r>
      <w:r w:rsidR="003911DD">
        <w:t xml:space="preserve">front-end </w:t>
      </w:r>
      <w:r>
        <w:t>component</w:t>
      </w:r>
      <w:r w:rsidR="00CC2245">
        <w:t xml:space="preserve"> realization</w:t>
      </w:r>
      <w:r>
        <w:t xml:space="preserve">s. </w:t>
      </w:r>
      <w:r w:rsidR="00CC2245">
        <w:t xml:space="preserve"> Instead, the RF realization has to be multiplied for the required operations, where specific designs</w:t>
      </w:r>
      <w:r w:rsidR="00204911">
        <w:t xml:space="preserve"> apply for every</w:t>
      </w:r>
      <w:r w:rsidR="00CC2245">
        <w:t xml:space="preserve"> given frequency range. </w:t>
      </w:r>
    </w:p>
    <w:p w14:paraId="6F6E461D" w14:textId="7416E015" w:rsidR="004C5929" w:rsidRPr="006E13D1" w:rsidRDefault="004C5929" w:rsidP="004C5929">
      <w:pPr>
        <w:pStyle w:val="Heading3"/>
      </w:pPr>
      <w:r w:rsidRPr="006E13D1">
        <w:t>3.1</w:t>
      </w:r>
      <w:r>
        <w:t>.1</w:t>
      </w:r>
      <w:r w:rsidRPr="006E13D1">
        <w:tab/>
      </w:r>
      <w:r>
        <w:t>Question 2: NR carrier combinations</w:t>
      </w:r>
    </w:p>
    <w:p w14:paraId="284E5227" w14:textId="764DBD9E" w:rsidR="00A23AE0" w:rsidRDefault="006167E7" w:rsidP="00A23AE0">
      <w:pPr>
        <w:pStyle w:val="B1"/>
        <w:ind w:left="0" w:firstLine="0"/>
      </w:pPr>
      <w:r>
        <w:t>Based on the discussions above</w:t>
      </w:r>
      <w:r w:rsidR="004C5929">
        <w:t xml:space="preserve">, it </w:t>
      </w:r>
      <w:r w:rsidR="0022352D">
        <w:t xml:space="preserve">can be assumed </w:t>
      </w:r>
      <w:r w:rsidR="005B685E">
        <w:t>the UE</w:t>
      </w:r>
      <w:r w:rsidR="00A764B7">
        <w:t xml:space="preserve"> mostly</w:t>
      </w:r>
      <w:r w:rsidR="005B685E">
        <w:t xml:space="preserve"> supports </w:t>
      </w:r>
      <w:r w:rsidR="001C076D">
        <w:t xml:space="preserve">one NR </w:t>
      </w:r>
      <w:r w:rsidR="008A0B38">
        <w:t>band</w:t>
      </w:r>
      <w:r w:rsidR="0022352D">
        <w:t xml:space="preserve"> in operation</w:t>
      </w:r>
      <w:r w:rsidR="008A0B38">
        <w:t xml:space="preserve"> </w:t>
      </w:r>
      <w:r w:rsidR="007460E4">
        <w:t>above</w:t>
      </w:r>
      <w:r w:rsidR="00C52E67">
        <w:t xml:space="preserve"> 6 GHz</w:t>
      </w:r>
      <w:r w:rsidR="001C076D">
        <w:t xml:space="preserve"> in addition to </w:t>
      </w:r>
      <w:r w:rsidR="008A0B38">
        <w:t xml:space="preserve">the </w:t>
      </w:r>
      <w:r w:rsidR="001C076D">
        <w:t xml:space="preserve">low band combinations (i.e. existing below 6 GHz). Naturally, </w:t>
      </w:r>
      <w:r w:rsidR="0022352D" w:rsidRPr="008F27D4">
        <w:rPr>
          <w:lang w:val="en-US"/>
        </w:rPr>
        <w:t xml:space="preserve">UE may have </w:t>
      </w:r>
      <w:r w:rsidR="005B685E" w:rsidRPr="00ED0E69">
        <w:t xml:space="preserve">chipset </w:t>
      </w:r>
      <w:r w:rsidR="005B685E">
        <w:t xml:space="preserve">support for </w:t>
      </w:r>
      <w:r w:rsidR="00A23AE0">
        <w:t xml:space="preserve">another </w:t>
      </w:r>
      <w:r w:rsidR="001C076D">
        <w:t xml:space="preserve">NR </w:t>
      </w:r>
      <w:r w:rsidR="008A0B38">
        <w:t xml:space="preserve">band </w:t>
      </w:r>
      <w:r w:rsidR="007460E4">
        <w:t>above</w:t>
      </w:r>
      <w:r w:rsidR="00C52E67">
        <w:t xml:space="preserve"> 6 GHz</w:t>
      </w:r>
      <w:r w:rsidR="00A23AE0">
        <w:t xml:space="preserve"> </w:t>
      </w:r>
      <w:r w:rsidR="001C076D">
        <w:t>accomplish</w:t>
      </w:r>
      <w:r w:rsidR="0022352D">
        <w:t>ed</w:t>
      </w:r>
      <w:r w:rsidR="001C076D">
        <w:t xml:space="preserve"> by adding more RF components</w:t>
      </w:r>
      <w:r w:rsidR="00A764B7">
        <w:t xml:space="preserve">. </w:t>
      </w:r>
      <w:r w:rsidR="00A05001">
        <w:t>Multi-band a</w:t>
      </w:r>
      <w:r w:rsidR="00A764B7">
        <w:t>ggregation of NR bands may not be practical.</w:t>
      </w:r>
    </w:p>
    <w:p w14:paraId="460BC966" w14:textId="638FD7E8" w:rsidR="00A120DD" w:rsidRDefault="00A120DD" w:rsidP="00A120DD">
      <w:pPr>
        <w:pStyle w:val="B1"/>
        <w:ind w:left="0" w:firstLine="0"/>
        <w:rPr>
          <w:b/>
        </w:rPr>
      </w:pPr>
      <w:r w:rsidRPr="00FC5DAF">
        <w:rPr>
          <w:b/>
        </w:rPr>
        <w:t xml:space="preserve">Observation </w:t>
      </w:r>
      <w:r w:rsidR="008D2E73">
        <w:rPr>
          <w:b/>
        </w:rPr>
        <w:t>4</w:t>
      </w:r>
      <w:r w:rsidRPr="00FC5DAF">
        <w:rPr>
          <w:b/>
        </w:rPr>
        <w:t xml:space="preserve">: </w:t>
      </w:r>
      <w:r>
        <w:rPr>
          <w:b/>
        </w:rPr>
        <w:t xml:space="preserve">The initial NR deployments will have UEs supporting at most </w:t>
      </w:r>
      <w:r w:rsidR="000C7EA6">
        <w:rPr>
          <w:b/>
        </w:rPr>
        <w:t>one</w:t>
      </w:r>
      <w:r>
        <w:rPr>
          <w:b/>
        </w:rPr>
        <w:t xml:space="preserve"> </w:t>
      </w:r>
      <w:r w:rsidR="000C7EA6">
        <w:rPr>
          <w:b/>
        </w:rPr>
        <w:t>band</w:t>
      </w:r>
      <w:r w:rsidR="008D2E73">
        <w:rPr>
          <w:b/>
        </w:rPr>
        <w:t xml:space="preserve"> at one time</w:t>
      </w:r>
      <w:r w:rsidR="008D2E73">
        <w:rPr>
          <w:rStyle w:val="CommentReference"/>
        </w:rPr>
        <w:t xml:space="preserve"> </w:t>
      </w:r>
      <w:r w:rsidR="008D2E73">
        <w:rPr>
          <w:b/>
        </w:rPr>
        <w:t>ab</w:t>
      </w:r>
      <w:r>
        <w:rPr>
          <w:b/>
        </w:rPr>
        <w:t>ove 6 GHz</w:t>
      </w:r>
      <w:r w:rsidR="000C7EA6">
        <w:rPr>
          <w:b/>
        </w:rPr>
        <w:t>.</w:t>
      </w:r>
    </w:p>
    <w:p w14:paraId="545CD5C0" w14:textId="29AEF5AB" w:rsidR="00A120DD" w:rsidRPr="001E5297" w:rsidRDefault="00A120DD" w:rsidP="00A120DD">
      <w:pPr>
        <w:pStyle w:val="B1"/>
        <w:ind w:left="0" w:firstLine="0"/>
        <w:rPr>
          <w:b/>
        </w:rPr>
      </w:pPr>
      <w:r>
        <w:rPr>
          <w:b/>
        </w:rPr>
        <w:t xml:space="preserve">Observation </w:t>
      </w:r>
      <w:r w:rsidR="008D2E73">
        <w:rPr>
          <w:b/>
        </w:rPr>
        <w:t>5</w:t>
      </w:r>
      <w:r>
        <w:rPr>
          <w:b/>
        </w:rPr>
        <w:t xml:space="preserve">: For NR above 6 GHz operation, non-contiguous CA might not be quite </w:t>
      </w:r>
      <w:r w:rsidR="000C7EA6">
        <w:rPr>
          <w:b/>
        </w:rPr>
        <w:t>attractive</w:t>
      </w:r>
      <w:r>
        <w:rPr>
          <w:b/>
        </w:rPr>
        <w:t xml:space="preserve"> nor needed</w:t>
      </w:r>
      <w:r w:rsidR="000C7EA6">
        <w:rPr>
          <w:b/>
        </w:rPr>
        <w:t>, and contiguous CA could apply instead (This is due to the large amount of spectrum that is available.)</w:t>
      </w:r>
    </w:p>
    <w:p w14:paraId="7AFE100F" w14:textId="613404CE" w:rsidR="00A120DD" w:rsidRDefault="00E8651E" w:rsidP="00A23AE0">
      <w:pPr>
        <w:pStyle w:val="B1"/>
        <w:ind w:left="0" w:firstLine="0"/>
      </w:pPr>
      <w:r>
        <w:t>A</w:t>
      </w:r>
      <w:r w:rsidR="00C32D07">
        <w:t>nother</w:t>
      </w:r>
      <w:r>
        <w:t xml:space="preserve"> </w:t>
      </w:r>
      <w:r w:rsidR="00C32D07">
        <w:t xml:space="preserve">important </w:t>
      </w:r>
      <w:r>
        <w:t xml:space="preserve">topic is </w:t>
      </w:r>
      <w:r w:rsidR="004C5929">
        <w:t xml:space="preserve">whether </w:t>
      </w:r>
      <w:r>
        <w:t>uplink transmitter power sharing</w:t>
      </w:r>
      <w:r w:rsidR="00A05001">
        <w:t xml:space="preserve"> </w:t>
      </w:r>
      <w:r w:rsidR="000C7EA6">
        <w:t xml:space="preserve">is </w:t>
      </w:r>
      <w:r w:rsidR="00C32D07">
        <w:t>needed</w:t>
      </w:r>
      <w:r w:rsidR="004C5929">
        <w:t xml:space="preserve"> and if it is needed, how such sharing could be accomplished</w:t>
      </w:r>
      <w:r>
        <w:t xml:space="preserve">. We understand that typically there is no </w:t>
      </w:r>
      <w:r w:rsidRPr="00E8651E">
        <w:t xml:space="preserve">need to share the power </w:t>
      </w:r>
      <w:r w:rsidR="00C32D07">
        <w:t xml:space="preserve">resource </w:t>
      </w:r>
      <w:r w:rsidRPr="00E8651E">
        <w:t xml:space="preserve">between </w:t>
      </w:r>
      <w:r w:rsidR="007460E4">
        <w:t>below</w:t>
      </w:r>
      <w:r w:rsidR="00C52E67">
        <w:t xml:space="preserve"> 6 GHz</w:t>
      </w:r>
      <w:r w:rsidRPr="00E8651E">
        <w:t xml:space="preserve"> and </w:t>
      </w:r>
      <w:r w:rsidR="007460E4">
        <w:t>above</w:t>
      </w:r>
      <w:r w:rsidR="00C52E67">
        <w:t xml:space="preserve"> 6 GHz</w:t>
      </w:r>
      <w:r>
        <w:t xml:space="preserve"> bands</w:t>
      </w:r>
      <w:r w:rsidR="00C32D07">
        <w:t>,</w:t>
      </w:r>
      <w:r w:rsidRPr="00E8651E">
        <w:t xml:space="preserve"> because the </w:t>
      </w:r>
      <w:r w:rsidR="00C32D07">
        <w:t xml:space="preserve">band </w:t>
      </w:r>
      <w:r w:rsidRPr="00E8651E">
        <w:t xml:space="preserve">regulations and RF implementations </w:t>
      </w:r>
      <w:r>
        <w:t>might be</w:t>
      </w:r>
      <w:r w:rsidRPr="00E8651E">
        <w:t xml:space="preserve"> quite different for the </w:t>
      </w:r>
      <w:r>
        <w:t xml:space="preserve">NR </w:t>
      </w:r>
      <w:r w:rsidR="007460E4">
        <w:t>above</w:t>
      </w:r>
      <w:r w:rsidR="00C52E67">
        <w:t xml:space="preserve"> 6 GHz</w:t>
      </w:r>
      <w:r>
        <w:t xml:space="preserve"> bands</w:t>
      </w:r>
      <w:r w:rsidR="00C32D07">
        <w:t xml:space="preserve">, and </w:t>
      </w:r>
      <w:r w:rsidR="000C7EA6">
        <w:t xml:space="preserve">because </w:t>
      </w:r>
      <w:r w:rsidR="00C32D07">
        <w:t xml:space="preserve">their impact to </w:t>
      </w:r>
      <w:r w:rsidR="007460E4">
        <w:t>below</w:t>
      </w:r>
      <w:r w:rsidR="00C52E67">
        <w:t xml:space="preserve"> 6 GHz</w:t>
      </w:r>
      <w:r w:rsidR="00C32D07">
        <w:t xml:space="preserve"> operation is non-limiting</w:t>
      </w:r>
      <w:r>
        <w:t xml:space="preserve">. However, this </w:t>
      </w:r>
      <w:r w:rsidR="00C32D07">
        <w:t xml:space="preserve">assumption </w:t>
      </w:r>
      <w:r w:rsidR="002A6D3D">
        <w:t xml:space="preserve">needs to </w:t>
      </w:r>
      <w:r w:rsidR="00C32D07">
        <w:t xml:space="preserve">be </w:t>
      </w:r>
      <w:r w:rsidR="002A6D3D">
        <w:t xml:space="preserve">studied and </w:t>
      </w:r>
      <w:r w:rsidR="00C32D07">
        <w:t>verified by RAN4.</w:t>
      </w:r>
    </w:p>
    <w:p w14:paraId="46572B36" w14:textId="7890EF4B" w:rsidR="00A120DD" w:rsidRDefault="00A120DD" w:rsidP="00A120DD">
      <w:pPr>
        <w:pStyle w:val="B1"/>
        <w:ind w:left="0" w:firstLine="0"/>
      </w:pPr>
      <w:r w:rsidRPr="00FC5DAF">
        <w:rPr>
          <w:b/>
        </w:rPr>
        <w:t xml:space="preserve">Observation </w:t>
      </w:r>
      <w:r w:rsidR="008D2E73">
        <w:rPr>
          <w:b/>
        </w:rPr>
        <w:t>6</w:t>
      </w:r>
      <w:r w:rsidRPr="00FC5DAF">
        <w:rPr>
          <w:b/>
        </w:rPr>
        <w:t xml:space="preserve">: </w:t>
      </w:r>
      <w:r>
        <w:rPr>
          <w:b/>
        </w:rPr>
        <w:t xml:space="preserve">Due to </w:t>
      </w:r>
      <w:r w:rsidR="000C7EA6">
        <w:rPr>
          <w:b/>
        </w:rPr>
        <w:t xml:space="preserve">the </w:t>
      </w:r>
      <w:r>
        <w:rPr>
          <w:b/>
        </w:rPr>
        <w:t xml:space="preserve">fundamental differences in the manner RF operates, there is no </w:t>
      </w:r>
      <w:r w:rsidR="00A05001">
        <w:rPr>
          <w:b/>
        </w:rPr>
        <w:t>trade-off</w:t>
      </w:r>
      <w:r w:rsidR="000C7EA6">
        <w:rPr>
          <w:b/>
        </w:rPr>
        <w:t xml:space="preserve"> </w:t>
      </w:r>
      <w:r>
        <w:rPr>
          <w:b/>
        </w:rPr>
        <w:t xml:space="preserve">in the uplink transmitter power sharing between the </w:t>
      </w:r>
      <w:r w:rsidRPr="000F605B">
        <w:rPr>
          <w:b/>
        </w:rPr>
        <w:t>below 6 GHz and above 6 GHz bands</w:t>
      </w:r>
      <w:r>
        <w:rPr>
          <w:b/>
        </w:rPr>
        <w:t>.</w:t>
      </w:r>
    </w:p>
    <w:p w14:paraId="034FE404" w14:textId="0B2BA36B" w:rsidR="00231497" w:rsidRDefault="00231497" w:rsidP="008E3AD6">
      <w:pPr>
        <w:pStyle w:val="B1"/>
        <w:ind w:left="0" w:firstLine="0"/>
        <w:rPr>
          <w:b/>
        </w:rPr>
      </w:pPr>
      <w:r w:rsidRPr="00231497">
        <w:rPr>
          <w:b/>
        </w:rPr>
        <w:t xml:space="preserve">Proposal 1: </w:t>
      </w:r>
      <w:r w:rsidR="00D578FA">
        <w:rPr>
          <w:b/>
        </w:rPr>
        <w:t>RAN2 is requested to discuss the observations made for the NR RF capabilities.</w:t>
      </w:r>
    </w:p>
    <w:p w14:paraId="1AED8A08" w14:textId="408C6690" w:rsidR="00CD4C7B" w:rsidRDefault="00CD4C7B" w:rsidP="00CD4C7B">
      <w:pPr>
        <w:pStyle w:val="Heading2"/>
      </w:pPr>
      <w:r w:rsidRPr="006E13D1">
        <w:t>3.2</w:t>
      </w:r>
      <w:r w:rsidRPr="006E13D1">
        <w:tab/>
      </w:r>
      <w:r w:rsidR="0022352D">
        <w:t>M</w:t>
      </w:r>
      <w:r w:rsidR="00B546A8">
        <w:t>odelling of</w:t>
      </w:r>
      <w:r w:rsidR="0022352D">
        <w:t xml:space="preserve"> UE</w:t>
      </w:r>
      <w:r w:rsidR="00B546A8">
        <w:t xml:space="preserve"> </w:t>
      </w:r>
      <w:r w:rsidR="0022352D">
        <w:t xml:space="preserve">buffering </w:t>
      </w:r>
      <w:r w:rsidR="008E3AD6">
        <w:t>capabilities</w:t>
      </w:r>
    </w:p>
    <w:p w14:paraId="79B0DD18" w14:textId="612879B7" w:rsidR="00871E5C" w:rsidRPr="000F605B" w:rsidRDefault="006872D5" w:rsidP="000F605B">
      <w:pPr>
        <w:pStyle w:val="Heading2"/>
        <w:rPr>
          <w:szCs w:val="32"/>
        </w:rPr>
      </w:pPr>
      <w:r w:rsidRPr="000F605B">
        <w:rPr>
          <w:szCs w:val="32"/>
        </w:rPr>
        <w:t xml:space="preserve">3.2.1 </w:t>
      </w:r>
      <w:r w:rsidR="00F16567">
        <w:rPr>
          <w:szCs w:val="32"/>
        </w:rPr>
        <w:tab/>
      </w:r>
      <w:r w:rsidRPr="000F605B">
        <w:rPr>
          <w:szCs w:val="32"/>
        </w:rPr>
        <w:t>Introduction</w:t>
      </w:r>
    </w:p>
    <w:p w14:paraId="0F2A98A3" w14:textId="5158E2F7" w:rsidR="00904C4D" w:rsidRDefault="006872D5" w:rsidP="00373F80">
      <w:pPr>
        <w:pStyle w:val="B1"/>
        <w:ind w:left="0" w:firstLine="0"/>
      </w:pPr>
      <w:r>
        <w:t>The processing capability relates to the UE categories, e.g. in terms of L2 buffer sizes and the physical layer related maximum number of transport block bits received within a TTI, total number of soft channel bits and maximum number of layers for spatial multiplexing. In Section 3.2.2 we discuss the UE capability from HARQ buffer point of view and in Section 3.2.3 from L2 PDU handling point of view.</w:t>
      </w:r>
    </w:p>
    <w:p w14:paraId="1E37F9B1" w14:textId="4F8E30FD" w:rsidR="00F16567" w:rsidRPr="000F605B" w:rsidRDefault="006872D5" w:rsidP="003F3271">
      <w:pPr>
        <w:pStyle w:val="Heading2"/>
        <w:rPr>
          <w:sz w:val="28"/>
          <w:szCs w:val="28"/>
        </w:rPr>
      </w:pPr>
      <w:r w:rsidRPr="000F605B">
        <w:t xml:space="preserve">3.2.2 </w:t>
      </w:r>
      <w:r w:rsidR="00F16567">
        <w:tab/>
      </w:r>
      <w:r w:rsidR="00F16567">
        <w:tab/>
      </w:r>
      <w:r w:rsidRPr="000F605B">
        <w:t>Discussion on HARQ buffer sharing</w:t>
      </w:r>
    </w:p>
    <w:p w14:paraId="25D51D70" w14:textId="5FB5327E" w:rsidR="00373F80" w:rsidRDefault="00373F80" w:rsidP="00373F80">
      <w:pPr>
        <w:pStyle w:val="B1"/>
        <w:ind w:left="0" w:firstLine="0"/>
      </w:pPr>
      <w:r>
        <w:t xml:space="preserve">The discussion on L2 capabilities may </w:t>
      </w:r>
      <w:r w:rsidR="002A6D3D">
        <w:t>begin</w:t>
      </w:r>
      <w:r>
        <w:t xml:space="preserve"> by looking at the HARQ buffer sharing possibilities</w:t>
      </w:r>
      <w:r w:rsidR="00AC40BA">
        <w:t>; because it is an</w:t>
      </w:r>
      <w:r w:rsidR="00AC40BA" w:rsidRPr="00AC40BA">
        <w:t xml:space="preserve"> expe</w:t>
      </w:r>
      <w:r w:rsidR="00AC40BA">
        <w:t>nsive part in the baseband chip</w:t>
      </w:r>
      <w:r>
        <w:t xml:space="preserve">. In </w:t>
      </w:r>
      <w:r w:rsidR="002A6D3D">
        <w:t xml:space="preserve">the </w:t>
      </w:r>
      <w:r>
        <w:t xml:space="preserve">previous contributions </w:t>
      </w:r>
      <w:r w:rsidR="002A6D3D">
        <w:t xml:space="preserve">by </w:t>
      </w:r>
      <w:r>
        <w:t>chipset vendors</w:t>
      </w:r>
      <w:r w:rsidR="002A6D3D">
        <w:t>,</w:t>
      </w:r>
      <w:r>
        <w:t xml:space="preserve"> and in general</w:t>
      </w:r>
      <w:r w:rsidR="002A6D3D">
        <w:t>,</w:t>
      </w:r>
      <w:r>
        <w:t xml:space="preserve"> it is understood that </w:t>
      </w:r>
      <w:r w:rsidRPr="00373F80">
        <w:t xml:space="preserve">if </w:t>
      </w:r>
      <w:r>
        <w:t xml:space="preserve">the different RATs (WCDMA, LTE and </w:t>
      </w:r>
      <w:r w:rsidRPr="00373F80">
        <w:t>NR) are tightly integrated in the baseband chip,</w:t>
      </w:r>
      <w:r>
        <w:t xml:space="preserve"> it should be possible to share the</w:t>
      </w:r>
      <w:r w:rsidR="002A6D3D">
        <w:t>ir</w:t>
      </w:r>
      <w:r>
        <w:t xml:space="preserve"> HARQ buffers. We </w:t>
      </w:r>
      <w:r w:rsidR="002A6D3D">
        <w:t>consider</w:t>
      </w:r>
      <w:r>
        <w:t xml:space="preserve"> that </w:t>
      </w:r>
      <w:r w:rsidR="002A6D3D">
        <w:t xml:space="preserve">typically </w:t>
      </w:r>
      <w:r w:rsidRPr="00373F80">
        <w:t xml:space="preserve">the common memory </w:t>
      </w:r>
      <w:r>
        <w:t xml:space="preserve">is </w:t>
      </w:r>
      <w:r w:rsidRPr="00373F80">
        <w:t xml:space="preserve">shared among RATs </w:t>
      </w:r>
      <w:r>
        <w:t xml:space="preserve">(including HARQ buffer), though prior to LTE/NR tight interworking, </w:t>
      </w:r>
      <w:r w:rsidRPr="00373F80">
        <w:t xml:space="preserve">multiple RATs are not simultaneously active. </w:t>
      </w:r>
      <w:r>
        <w:t>Hence, i</w:t>
      </w:r>
      <w:r w:rsidRPr="00373F80">
        <w:t xml:space="preserve">f two RATs simultaneously use </w:t>
      </w:r>
      <w:r>
        <w:t>the same HARQ buffer area, then it must be possible to secure the</w:t>
      </w:r>
      <w:r w:rsidRPr="00373F80">
        <w:t xml:space="preserve"> combined data rate and latency requirement</w:t>
      </w:r>
      <w:r w:rsidR="00AC40BA">
        <w:t xml:space="preserve">s by UE internal design. </w:t>
      </w:r>
      <w:r w:rsidR="00906B7D" w:rsidRPr="00906B7D">
        <w:t>Soft buffer memory for storing Transport Block data could be shared between RATs</w:t>
      </w:r>
      <w:r w:rsidR="005B0DDE">
        <w:t>.</w:t>
      </w:r>
      <w:r w:rsidR="00296254">
        <w:t xml:space="preserve"> </w:t>
      </w:r>
      <w:r w:rsidR="005B0DDE">
        <w:t xml:space="preserve">For </w:t>
      </w:r>
      <w:r w:rsidR="00906B7D" w:rsidRPr="00906B7D">
        <w:t xml:space="preserve">LTE and NR </w:t>
      </w:r>
      <w:r w:rsidR="005B0DDE">
        <w:t xml:space="preserve">there are however notable differences compared to the legacy operations, namely </w:t>
      </w:r>
      <w:r w:rsidR="00906B7D" w:rsidRPr="00906B7D">
        <w:t xml:space="preserve">the data </w:t>
      </w:r>
      <w:r w:rsidR="005B0DDE">
        <w:t xml:space="preserve">is </w:t>
      </w:r>
      <w:r w:rsidR="00906B7D" w:rsidRPr="00906B7D">
        <w:t xml:space="preserve"> subject to different </w:t>
      </w:r>
      <w:r w:rsidR="005B0DDE">
        <w:t>coding/</w:t>
      </w:r>
      <w:r w:rsidR="00906B7D" w:rsidRPr="00906B7D">
        <w:t>decod</w:t>
      </w:r>
      <w:r w:rsidR="005B0DDE">
        <w:t>ing  principles</w:t>
      </w:r>
      <w:r w:rsidR="00906B7D" w:rsidRPr="00906B7D">
        <w:t xml:space="preserve"> (Turbo vs. LDPC) </w:t>
      </w:r>
      <w:r w:rsidR="005B0DDE">
        <w:t xml:space="preserve">and their code block sizes, </w:t>
      </w:r>
      <w:r w:rsidR="00906B7D" w:rsidRPr="00906B7D">
        <w:t xml:space="preserve">and </w:t>
      </w:r>
      <w:r w:rsidR="005B0DDE">
        <w:t xml:space="preserve">the </w:t>
      </w:r>
      <w:r w:rsidR="00906B7D" w:rsidRPr="00906B7D">
        <w:t xml:space="preserve">timing </w:t>
      </w:r>
      <w:r w:rsidR="005B0DDE">
        <w:t xml:space="preserve">constraints </w:t>
      </w:r>
      <w:r w:rsidR="00906B7D" w:rsidRPr="00906B7D">
        <w:t xml:space="preserve">of ACKs </w:t>
      </w:r>
      <w:r w:rsidR="005B0DDE">
        <w:t>are different dye to different symbol length</w:t>
      </w:r>
      <w:r w:rsidR="002A6D3D">
        <w:t>s</w:t>
      </w:r>
      <w:r w:rsidR="005B0DDE">
        <w:t xml:space="preserve">, TTI lengths and due to their dependency </w:t>
      </w:r>
      <w:r w:rsidR="00906B7D" w:rsidRPr="00906B7D">
        <w:t xml:space="preserve">on the decoding result. </w:t>
      </w:r>
      <w:r w:rsidR="005B0DDE">
        <w:t xml:space="preserve"> </w:t>
      </w:r>
      <w:r w:rsidR="005B0DDE">
        <w:lastRenderedPageBreak/>
        <w:t>T</w:t>
      </w:r>
      <w:r w:rsidR="00906B7D" w:rsidRPr="00906B7D">
        <w:t xml:space="preserve">he </w:t>
      </w:r>
      <w:r w:rsidR="005B0DDE">
        <w:t xml:space="preserve">RAN1 “to be decided” </w:t>
      </w:r>
      <w:r w:rsidR="002A6D3D">
        <w:t xml:space="preserve">channel </w:t>
      </w:r>
      <w:r w:rsidR="00906B7D" w:rsidRPr="00906B7D">
        <w:t>cod</w:t>
      </w:r>
      <w:r w:rsidR="005B0DDE">
        <w:t>ing details such as</w:t>
      </w:r>
      <w:r w:rsidR="00906B7D" w:rsidRPr="00906B7D">
        <w:t xml:space="preserve"> </w:t>
      </w:r>
      <w:r w:rsidR="002A6D3D">
        <w:t xml:space="preserve">code </w:t>
      </w:r>
      <w:r w:rsidR="00906B7D" w:rsidRPr="00906B7D">
        <w:t>block segmentation size hence pipelining of decoding the data of a TB can be</w:t>
      </w:r>
      <w:r w:rsidR="005B0DDE">
        <w:t>come</w:t>
      </w:r>
      <w:r w:rsidR="00906B7D" w:rsidRPr="00906B7D">
        <w:t xml:space="preserve"> different for </w:t>
      </w:r>
      <w:r w:rsidR="005B0DDE">
        <w:t xml:space="preserve">NR compared to </w:t>
      </w:r>
      <w:r w:rsidR="00906B7D" w:rsidRPr="00906B7D">
        <w:t xml:space="preserve">LTE </w:t>
      </w:r>
      <w:r w:rsidR="005B0DDE">
        <w:t>(and legacy) Turbo codes.</w:t>
      </w:r>
      <w:r w:rsidR="00906B7D" w:rsidRPr="00906B7D">
        <w:t xml:space="preserve"> Therefore, there </w:t>
      </w:r>
      <w:r w:rsidR="005B0DDE">
        <w:t xml:space="preserve">may appear </w:t>
      </w:r>
      <w:r w:rsidR="00906B7D" w:rsidRPr="00906B7D">
        <w:t>large challenges of sharing</w:t>
      </w:r>
      <w:r w:rsidR="005B0DDE">
        <w:t xml:space="preserve"> common </w:t>
      </w:r>
      <w:r w:rsidR="00296254">
        <w:t>hardware</w:t>
      </w:r>
      <w:r w:rsidR="005B0DDE">
        <w:t xml:space="preserve"> and memory resources and sharing them fast</w:t>
      </w:r>
      <w:r w:rsidR="00296254">
        <w:t xml:space="preserve"> enough</w:t>
      </w:r>
      <w:r w:rsidR="005B0DDE">
        <w:t xml:space="preserve">, </w:t>
      </w:r>
      <w:r w:rsidR="000F605B">
        <w:t>n</w:t>
      </w:r>
      <w:r w:rsidR="005B0DDE">
        <w:t>amely,</w:t>
      </w:r>
      <w:r w:rsidR="00906B7D" w:rsidRPr="00906B7D">
        <w:t xml:space="preserve"> if sharing, that may </w:t>
      </w:r>
      <w:r w:rsidR="005B0DDE">
        <w:t>lead to large control overhead in the circuitry and may have a negative</w:t>
      </w:r>
      <w:r w:rsidR="00906B7D" w:rsidRPr="00906B7D">
        <w:t xml:space="preserve"> </w:t>
      </w:r>
      <w:r w:rsidR="005B0DDE">
        <w:t xml:space="preserve">impact </w:t>
      </w:r>
      <w:r w:rsidR="00906B7D" w:rsidRPr="00906B7D">
        <w:t>to the decoding speed.</w:t>
      </w:r>
      <w:r w:rsidR="00906B7D">
        <w:t xml:space="preserve"> </w:t>
      </w:r>
      <w:r w:rsidR="00AC40BA">
        <w:t xml:space="preserve">We also </w:t>
      </w:r>
      <w:r w:rsidR="002A6D3D">
        <w:t>consider</w:t>
      </w:r>
      <w:r w:rsidR="00AC40BA">
        <w:t xml:space="preserve"> that dynamic </w:t>
      </w:r>
      <w:r w:rsidR="005B0DDE">
        <w:t xml:space="preserve">(fast) </w:t>
      </w:r>
      <w:r w:rsidR="00AC40BA">
        <w:t xml:space="preserve">sharing of the HARQ buffer </w:t>
      </w:r>
      <w:r w:rsidR="005B0DDE">
        <w:t xml:space="preserve">resources </w:t>
      </w:r>
      <w:r w:rsidR="00AC40BA">
        <w:t>might not be practical due to the extremely fast nature of HARQ processing,</w:t>
      </w:r>
      <w:r w:rsidR="005B0DDE">
        <w:t xml:space="preserve"> </w:t>
      </w:r>
      <w:r w:rsidR="002A6D3D">
        <w:t xml:space="preserve">e.g. </w:t>
      </w:r>
      <w:r w:rsidR="005B0DDE">
        <w:t xml:space="preserve">due to its asynchronicity, due to its dependency on the symbol length </w:t>
      </w:r>
      <w:r w:rsidR="005E36F0">
        <w:t>and TTI lengths, and because of the tight requirements of</w:t>
      </w:r>
      <w:r w:rsidR="00AC40BA">
        <w:t xml:space="preserve"> </w:t>
      </w:r>
      <w:r w:rsidR="005E36F0">
        <w:t xml:space="preserve">HARQ feedback </w:t>
      </w:r>
      <w:r w:rsidR="00AC40BA">
        <w:t>reporting</w:t>
      </w:r>
      <w:r w:rsidR="005E36F0">
        <w:t xml:space="preserve">. Further, in the LTE-NR interworking, which is a dominant (early) deployment for NR, LTE and NR need to be flexibly operational at the same time. It is not easy to see that LTE and NR soft-channel processing could be easily and flexibly tradable (on the fly) for any required data rate between them. </w:t>
      </w:r>
    </w:p>
    <w:p w14:paraId="5991F348" w14:textId="6D37EFB8" w:rsidR="00296254" w:rsidRDefault="00296254" w:rsidP="00373F80">
      <w:pPr>
        <w:pStyle w:val="B1"/>
        <w:ind w:left="0" w:firstLine="0"/>
        <w:rPr>
          <w:b/>
        </w:rPr>
      </w:pPr>
      <w:r w:rsidRPr="00906B7D">
        <w:rPr>
          <w:b/>
        </w:rPr>
        <w:t xml:space="preserve">Observation </w:t>
      </w:r>
      <w:r w:rsidR="00D41F08">
        <w:rPr>
          <w:b/>
        </w:rPr>
        <w:t>7</w:t>
      </w:r>
      <w:r w:rsidRPr="00906B7D">
        <w:rPr>
          <w:b/>
        </w:rPr>
        <w:t xml:space="preserve">: </w:t>
      </w:r>
      <w:r w:rsidR="004C5929">
        <w:rPr>
          <w:b/>
        </w:rPr>
        <w:t xml:space="preserve">Some </w:t>
      </w:r>
      <w:r>
        <w:rPr>
          <w:b/>
        </w:rPr>
        <w:t>HARQ buffer</w:t>
      </w:r>
      <w:r w:rsidR="00FD59C5">
        <w:rPr>
          <w:b/>
        </w:rPr>
        <w:t xml:space="preserve"> resources</w:t>
      </w:r>
      <w:r>
        <w:rPr>
          <w:b/>
        </w:rPr>
        <w:t xml:space="preserve"> </w:t>
      </w:r>
      <w:r w:rsidR="004C5929">
        <w:rPr>
          <w:b/>
        </w:rPr>
        <w:t xml:space="preserve">could </w:t>
      </w:r>
      <w:r w:rsidR="00FD59C5">
        <w:rPr>
          <w:b/>
        </w:rPr>
        <w:t>be shared</w:t>
      </w:r>
      <w:r>
        <w:rPr>
          <w:b/>
        </w:rPr>
        <w:t xml:space="preserve"> across multiple RATs.</w:t>
      </w:r>
    </w:p>
    <w:p w14:paraId="3462CA31" w14:textId="5882FA2F" w:rsidR="00296254" w:rsidRDefault="00296254" w:rsidP="00373F80">
      <w:pPr>
        <w:pStyle w:val="B1"/>
        <w:ind w:left="0" w:firstLine="0"/>
        <w:rPr>
          <w:b/>
        </w:rPr>
      </w:pPr>
      <w:r>
        <w:rPr>
          <w:b/>
        </w:rPr>
        <w:t xml:space="preserve">Observation </w:t>
      </w:r>
      <w:r w:rsidR="00D41F08">
        <w:rPr>
          <w:b/>
        </w:rPr>
        <w:t>8</w:t>
      </w:r>
      <w:r>
        <w:rPr>
          <w:b/>
        </w:rPr>
        <w:t xml:space="preserve">: It </w:t>
      </w:r>
      <w:r w:rsidR="004C5929">
        <w:rPr>
          <w:b/>
        </w:rPr>
        <w:t xml:space="preserve">is unclear whether </w:t>
      </w:r>
      <w:r>
        <w:rPr>
          <w:b/>
        </w:rPr>
        <w:t>NR PHY related aspects (e.g. coding</w:t>
      </w:r>
      <w:r w:rsidR="00FD59C5">
        <w:rPr>
          <w:b/>
        </w:rPr>
        <w:t>, TTI and symbol lengths</w:t>
      </w:r>
      <w:r>
        <w:rPr>
          <w:b/>
        </w:rPr>
        <w:t>) will create challenges in sharing</w:t>
      </w:r>
      <w:r w:rsidR="002A6D3D">
        <w:rPr>
          <w:b/>
        </w:rPr>
        <w:t xml:space="preserve"> of HARQ buffer resources</w:t>
      </w:r>
      <w:r>
        <w:rPr>
          <w:b/>
        </w:rPr>
        <w:t>.</w:t>
      </w:r>
    </w:p>
    <w:p w14:paraId="345D4FD1" w14:textId="7BCA5B1E" w:rsidR="00296254" w:rsidRDefault="00FD59C5" w:rsidP="00373F80">
      <w:pPr>
        <w:pStyle w:val="B1"/>
        <w:ind w:left="0" w:firstLine="0"/>
        <w:rPr>
          <w:b/>
        </w:rPr>
      </w:pPr>
      <w:r>
        <w:rPr>
          <w:b/>
        </w:rPr>
        <w:t xml:space="preserve">Observation </w:t>
      </w:r>
      <w:r w:rsidR="00D41F08">
        <w:rPr>
          <w:b/>
        </w:rPr>
        <w:t>9</w:t>
      </w:r>
      <w:r w:rsidR="00296254">
        <w:rPr>
          <w:b/>
        </w:rPr>
        <w:t xml:space="preserve">: </w:t>
      </w:r>
      <w:r w:rsidR="004C5929">
        <w:rPr>
          <w:b/>
        </w:rPr>
        <w:t xml:space="preserve">Any resource sharing should </w:t>
      </w:r>
      <w:r w:rsidR="00296254">
        <w:rPr>
          <w:b/>
        </w:rPr>
        <w:t>be done fast enough without a large impact to the control overhead in the circuitry leading to negative impacts (e.g. in decoding speed).</w:t>
      </w:r>
    </w:p>
    <w:p w14:paraId="216CFEA5" w14:textId="093FA1BC" w:rsidR="00906B7D" w:rsidRDefault="00906B7D" w:rsidP="00373F80">
      <w:pPr>
        <w:pStyle w:val="B1"/>
        <w:ind w:left="0" w:firstLine="0"/>
        <w:rPr>
          <w:b/>
        </w:rPr>
      </w:pPr>
      <w:r>
        <w:rPr>
          <w:b/>
        </w:rPr>
        <w:t xml:space="preserve">Proposal </w:t>
      </w:r>
      <w:r w:rsidR="00D41F08">
        <w:rPr>
          <w:b/>
        </w:rPr>
        <w:t>2</w:t>
      </w:r>
      <w:r>
        <w:rPr>
          <w:b/>
        </w:rPr>
        <w:t>: Consider</w:t>
      </w:r>
      <w:r w:rsidR="00FD59C5">
        <w:rPr>
          <w:b/>
        </w:rPr>
        <w:t xml:space="preserve"> modelling</w:t>
      </w:r>
      <w:r>
        <w:rPr>
          <w:b/>
        </w:rPr>
        <w:t xml:space="preserve"> </w:t>
      </w:r>
      <w:r w:rsidR="005E36F0">
        <w:rPr>
          <w:b/>
        </w:rPr>
        <w:t xml:space="preserve">the </w:t>
      </w:r>
      <w:r w:rsidRPr="00906B7D">
        <w:rPr>
          <w:b/>
        </w:rPr>
        <w:t>total number of soft-channel bits</w:t>
      </w:r>
      <w:r>
        <w:rPr>
          <w:b/>
        </w:rPr>
        <w:t xml:space="preserve"> </w:t>
      </w:r>
      <w:r w:rsidR="00FD59C5">
        <w:rPr>
          <w:b/>
        </w:rPr>
        <w:t xml:space="preserve">as </w:t>
      </w:r>
      <w:r w:rsidR="002A6D3D">
        <w:rPr>
          <w:b/>
        </w:rPr>
        <w:t xml:space="preserve">a </w:t>
      </w:r>
      <w:r w:rsidR="00FD59C5">
        <w:rPr>
          <w:b/>
        </w:rPr>
        <w:t xml:space="preserve">semi-static split between RATs </w:t>
      </w:r>
      <w:r>
        <w:rPr>
          <w:b/>
        </w:rPr>
        <w:t xml:space="preserve">for </w:t>
      </w:r>
      <w:r w:rsidR="005E36F0">
        <w:rPr>
          <w:b/>
        </w:rPr>
        <w:t xml:space="preserve">NR UE </w:t>
      </w:r>
      <w:r>
        <w:rPr>
          <w:b/>
        </w:rPr>
        <w:t>capabilities.</w:t>
      </w:r>
    </w:p>
    <w:p w14:paraId="51669A47" w14:textId="692C55E1" w:rsidR="00FD59C5" w:rsidRDefault="00FD59C5" w:rsidP="00373F80">
      <w:pPr>
        <w:pStyle w:val="B1"/>
        <w:ind w:left="0" w:firstLine="0"/>
        <w:rPr>
          <w:b/>
        </w:rPr>
      </w:pPr>
      <w:r>
        <w:rPr>
          <w:b/>
        </w:rPr>
        <w:t>Proposal 3</w:t>
      </w:r>
      <w:r w:rsidRPr="00231497">
        <w:rPr>
          <w:b/>
        </w:rPr>
        <w:t xml:space="preserve">: </w:t>
      </w:r>
      <w:r>
        <w:rPr>
          <w:b/>
        </w:rPr>
        <w:t>RAN2 is kindly requested to discuss the observations made for the HARQ buffer sharing.</w:t>
      </w:r>
    </w:p>
    <w:p w14:paraId="0C1ACCBE" w14:textId="64E7757F" w:rsidR="00296254" w:rsidRDefault="00296254" w:rsidP="003F3271">
      <w:pPr>
        <w:pStyle w:val="Heading2"/>
        <w:rPr>
          <w:b/>
        </w:rPr>
      </w:pPr>
      <w:r w:rsidRPr="00FC5DAF">
        <w:t>3.2.</w:t>
      </w:r>
      <w:r w:rsidR="00C574E4">
        <w:t>3</w:t>
      </w:r>
      <w:r w:rsidRPr="00FC5DAF">
        <w:t xml:space="preserve"> </w:t>
      </w:r>
      <w:r>
        <w:tab/>
      </w:r>
      <w:r>
        <w:tab/>
      </w:r>
      <w:r w:rsidRPr="00FC5DAF">
        <w:t xml:space="preserve">Discussion on </w:t>
      </w:r>
      <w:r w:rsidR="00FD59C5">
        <w:t>layer 2 buffer size sharing</w:t>
      </w:r>
    </w:p>
    <w:p w14:paraId="03FD28B9" w14:textId="7D69576C" w:rsidR="00F20679" w:rsidRDefault="00F20679" w:rsidP="00373F80">
      <w:pPr>
        <w:pStyle w:val="B1"/>
        <w:ind w:left="0" w:firstLine="0"/>
      </w:pPr>
      <w:r>
        <w:t>TS 36.306 defines the following capability:</w:t>
      </w:r>
    </w:p>
    <w:p w14:paraId="356818F2" w14:textId="77777777" w:rsidR="00F20679" w:rsidRPr="003F3271" w:rsidRDefault="00F20679" w:rsidP="003F3271">
      <w:pPr>
        <w:pStyle w:val="Heading3"/>
        <w:ind w:left="1418"/>
        <w:rPr>
          <w:i/>
        </w:rPr>
      </w:pPr>
      <w:bookmarkStart w:id="1" w:name="_Toc440032937"/>
      <w:r w:rsidRPr="003F3271">
        <w:rPr>
          <w:i/>
        </w:rPr>
        <w:t>4.2.5</w:t>
      </w:r>
      <w:r w:rsidRPr="003F3271">
        <w:rPr>
          <w:i/>
        </w:rPr>
        <w:tab/>
        <w:t>Total layer 2 buffer size</w:t>
      </w:r>
      <w:bookmarkEnd w:id="1"/>
    </w:p>
    <w:p w14:paraId="7591D4B3" w14:textId="77777777" w:rsidR="00F20679" w:rsidRDefault="00F20679" w:rsidP="003F3271">
      <w:pPr>
        <w:ind w:left="284"/>
      </w:pPr>
      <w:r w:rsidRPr="003F3271">
        <w:rPr>
          <w:i/>
        </w:rPr>
        <w:t>This parameter defines the total layer 2 buffer size. The total layer 2 buffer size is defined as the sum of the number of bytes that the UE is capable of storing in the RLC transmission windows and RLC reception and reordering windows for all radio bearers, and for UEs capable of split bearers, also in PDCP reordering windows for all split radio bearers.</w:t>
      </w:r>
    </w:p>
    <w:p w14:paraId="10C2B69A" w14:textId="706DEE99" w:rsidR="00FD59C5" w:rsidRDefault="00D97379" w:rsidP="00373F80">
      <w:pPr>
        <w:pStyle w:val="B1"/>
        <w:ind w:left="0" w:firstLine="0"/>
      </w:pPr>
      <w:r w:rsidRPr="000F605B">
        <w:t>The UE capability in handl</w:t>
      </w:r>
      <w:r w:rsidR="004E3E23" w:rsidRPr="000F605B">
        <w:t xml:space="preserve">ing </w:t>
      </w:r>
      <w:r w:rsidRPr="000F605B">
        <w:t>PDUs</w:t>
      </w:r>
      <w:r w:rsidR="00741E9E">
        <w:t>,</w:t>
      </w:r>
      <w:r w:rsidRPr="000F605B">
        <w:t xml:space="preserve"> after soft-combining and decoding</w:t>
      </w:r>
      <w:r w:rsidR="00741E9E">
        <w:t>,</w:t>
      </w:r>
      <w:r w:rsidR="00372B11" w:rsidRPr="000F605B">
        <w:t xml:space="preserve"> looks </w:t>
      </w:r>
      <w:r w:rsidR="004E3E23" w:rsidRPr="000F605B">
        <w:t xml:space="preserve">feasible </w:t>
      </w:r>
      <w:r w:rsidR="00741E9E">
        <w:t xml:space="preserve">for </w:t>
      </w:r>
      <w:r w:rsidR="004E3E23" w:rsidRPr="000F605B">
        <w:t>shared and compromised resource limit</w:t>
      </w:r>
      <w:r w:rsidR="00741E9E" w:rsidRPr="00741E9E">
        <w:t>s</w:t>
      </w:r>
      <w:r w:rsidR="004E3E23" w:rsidRPr="000F605B">
        <w:t xml:space="preserve"> </w:t>
      </w:r>
      <w:r w:rsidR="00741E9E" w:rsidRPr="00741E9E">
        <w:t xml:space="preserve">in terms of </w:t>
      </w:r>
      <w:r w:rsidR="004E3E23" w:rsidRPr="000F605B">
        <w:t xml:space="preserve">processing </w:t>
      </w:r>
      <w:r w:rsidR="00741E9E">
        <w:t xml:space="preserve">capacity </w:t>
      </w:r>
      <w:r w:rsidR="004E3E23" w:rsidRPr="000F605B">
        <w:t>and memor</w:t>
      </w:r>
      <w:r w:rsidR="00741E9E" w:rsidRPr="00741E9E">
        <w:t>y</w:t>
      </w:r>
      <w:r w:rsidR="004E3E23" w:rsidRPr="000F605B">
        <w:t>.</w:t>
      </w:r>
      <w:r w:rsidR="00372B11" w:rsidRPr="000F605B">
        <w:t xml:space="preserve"> </w:t>
      </w:r>
      <w:r w:rsidR="003C3675">
        <w:t xml:space="preserve">In particular, it seems reasonable to assume the possibility of UE implementations where layer-2 buffer can be used interchangeably in LTE operation and/or in NR operation. </w:t>
      </w:r>
      <w:r w:rsidR="00372B11" w:rsidRPr="000F605B">
        <w:t xml:space="preserve">UE implementations may have large design freedom in this, </w:t>
      </w:r>
      <w:r w:rsidR="005A5824">
        <w:t>but the minimum requirements need to be specified</w:t>
      </w:r>
      <w:r w:rsidR="00372B11" w:rsidRPr="000F605B">
        <w:t>.</w:t>
      </w:r>
      <w:r w:rsidR="00372B11">
        <w:t xml:space="preserve"> </w:t>
      </w:r>
      <w:r w:rsidR="008F27D4">
        <w:t xml:space="preserve">The questions which are relevant are; what are the nature of the RAT specific requirements which also apply </w:t>
      </w:r>
      <w:r w:rsidR="00AA30D6">
        <w:t>specific</w:t>
      </w:r>
      <w:r w:rsidR="008F27D4">
        <w:t>ally</w:t>
      </w:r>
      <w:r w:rsidR="00AA30D6">
        <w:t xml:space="preserve"> to</w:t>
      </w:r>
      <w:r w:rsidR="00741E9E">
        <w:t xml:space="preserve"> tight interworking</w:t>
      </w:r>
      <w:r w:rsidR="008F27D4">
        <w:t xml:space="preserve"> and in what extent these must be </w:t>
      </w:r>
      <w:r w:rsidR="00741E9E">
        <w:t xml:space="preserve"> negotiated in the network</w:t>
      </w:r>
      <w:r w:rsidR="00AD317C">
        <w:t xml:space="preserve"> </w:t>
      </w:r>
      <w:r w:rsidR="00741E9E">
        <w:t xml:space="preserve">need to be further </w:t>
      </w:r>
      <w:r w:rsidR="002A0B3D">
        <w:t>addressed.</w:t>
      </w:r>
      <w:r w:rsidR="00337277">
        <w:t xml:space="preserve"> </w:t>
      </w:r>
      <w:r w:rsidR="00A87D83">
        <w:t xml:space="preserve">As discussed in [4], </w:t>
      </w:r>
      <w:r w:rsidR="00741E9E">
        <w:t>single</w:t>
      </w:r>
      <w:r w:rsidR="00587BC6">
        <w:t>-</w:t>
      </w:r>
      <w:r w:rsidR="00741E9E">
        <w:t xml:space="preserve">RAT </w:t>
      </w:r>
      <w:r w:rsidR="00AA30D6">
        <w:t xml:space="preserve">requirements </w:t>
      </w:r>
      <w:r w:rsidR="00741E9E">
        <w:t xml:space="preserve">for LTE </w:t>
      </w:r>
      <w:r w:rsidR="00A87D83">
        <w:t xml:space="preserve">may or may not </w:t>
      </w:r>
      <w:r w:rsidR="00741E9E">
        <w:t xml:space="preserve">be different from single RAT </w:t>
      </w:r>
      <w:r w:rsidR="00A87D83">
        <w:t>requirements for</w:t>
      </w:r>
      <w:r w:rsidR="00741E9E">
        <w:t xml:space="preserve"> NR</w:t>
      </w:r>
      <w:r w:rsidR="002A6D3D">
        <w:t>,</w:t>
      </w:r>
      <w:r w:rsidR="00741E9E">
        <w:t xml:space="preserve"> </w:t>
      </w:r>
      <w:r w:rsidR="00587BC6">
        <w:t>while</w:t>
      </w:r>
      <w:r w:rsidR="00741E9E">
        <w:t xml:space="preserve"> </w:t>
      </w:r>
      <w:r w:rsidR="003629E6">
        <w:t>bearers split between LTE and NR</w:t>
      </w:r>
      <w:r w:rsidR="00A87D83">
        <w:t xml:space="preserve"> </w:t>
      </w:r>
      <w:r w:rsidR="00587BC6">
        <w:t>are likely to</w:t>
      </w:r>
      <w:r w:rsidR="00A87D83">
        <w:t xml:space="preserve"> pose higher requirements</w:t>
      </w:r>
      <w:r w:rsidR="00FD59C5">
        <w:t>.</w:t>
      </w:r>
    </w:p>
    <w:p w14:paraId="56634307" w14:textId="312BFE95" w:rsidR="00FD59C5" w:rsidRDefault="00FD59C5" w:rsidP="00FD59C5">
      <w:pPr>
        <w:pStyle w:val="B1"/>
        <w:ind w:left="0" w:firstLine="0"/>
        <w:rPr>
          <w:b/>
        </w:rPr>
      </w:pPr>
      <w:r>
        <w:rPr>
          <w:b/>
        </w:rPr>
        <w:t xml:space="preserve">Observation </w:t>
      </w:r>
      <w:r w:rsidR="00D41F08">
        <w:rPr>
          <w:b/>
        </w:rPr>
        <w:t>10</w:t>
      </w:r>
      <w:r>
        <w:rPr>
          <w:b/>
        </w:rPr>
        <w:t xml:space="preserve">: </w:t>
      </w:r>
      <w:r w:rsidR="00A87D83">
        <w:rPr>
          <w:b/>
        </w:rPr>
        <w:t>S</w:t>
      </w:r>
      <w:r w:rsidR="007A3310">
        <w:rPr>
          <w:b/>
        </w:rPr>
        <w:t xml:space="preserve">haring </w:t>
      </w:r>
      <w:r>
        <w:rPr>
          <w:b/>
        </w:rPr>
        <w:t xml:space="preserve">the layer 2 buffer </w:t>
      </w:r>
      <w:r w:rsidR="00A87D83">
        <w:rPr>
          <w:b/>
        </w:rPr>
        <w:t xml:space="preserve">size </w:t>
      </w:r>
      <w:r>
        <w:rPr>
          <w:b/>
        </w:rPr>
        <w:t>between multiple RATs seems reasonable.</w:t>
      </w:r>
    </w:p>
    <w:p w14:paraId="69261A3A" w14:textId="0DE5FB1E" w:rsidR="00FD59C5" w:rsidRDefault="00FD59C5" w:rsidP="00FD59C5">
      <w:pPr>
        <w:pStyle w:val="B1"/>
        <w:ind w:left="0" w:firstLine="0"/>
        <w:rPr>
          <w:b/>
        </w:rPr>
      </w:pPr>
      <w:r>
        <w:rPr>
          <w:b/>
        </w:rPr>
        <w:t>Observation 1</w:t>
      </w:r>
      <w:r w:rsidR="00D41F08">
        <w:rPr>
          <w:b/>
        </w:rPr>
        <w:t>1</w:t>
      </w:r>
      <w:r>
        <w:rPr>
          <w:b/>
        </w:rPr>
        <w:t xml:space="preserve">: </w:t>
      </w:r>
      <w:r w:rsidR="004A6A82">
        <w:rPr>
          <w:b/>
        </w:rPr>
        <w:t>T</w:t>
      </w:r>
      <w:r>
        <w:rPr>
          <w:b/>
        </w:rPr>
        <w:t xml:space="preserve">he </w:t>
      </w:r>
      <w:r w:rsidR="001F0CA7">
        <w:rPr>
          <w:b/>
        </w:rPr>
        <w:t xml:space="preserve">single-RAT requirements on </w:t>
      </w:r>
      <w:r>
        <w:rPr>
          <w:b/>
        </w:rPr>
        <w:t xml:space="preserve">layer 2 buffer </w:t>
      </w:r>
      <w:r w:rsidR="001F0CA7">
        <w:rPr>
          <w:b/>
        </w:rPr>
        <w:t xml:space="preserve">size </w:t>
      </w:r>
      <w:r>
        <w:rPr>
          <w:b/>
        </w:rPr>
        <w:t xml:space="preserve">for LTE and NR </w:t>
      </w:r>
      <w:r w:rsidR="001F0CA7">
        <w:rPr>
          <w:b/>
        </w:rPr>
        <w:t>may or may not be very</w:t>
      </w:r>
      <w:r>
        <w:rPr>
          <w:b/>
        </w:rPr>
        <w:t xml:space="preserve"> different.</w:t>
      </w:r>
    </w:p>
    <w:p w14:paraId="5AF14C08" w14:textId="2769FAA1" w:rsidR="00FD59C5" w:rsidRDefault="00FD59C5" w:rsidP="00FD59C5">
      <w:pPr>
        <w:pStyle w:val="B1"/>
        <w:ind w:left="0" w:firstLine="0"/>
        <w:rPr>
          <w:b/>
        </w:rPr>
      </w:pPr>
      <w:r>
        <w:rPr>
          <w:b/>
        </w:rPr>
        <w:t>Observation 1</w:t>
      </w:r>
      <w:r w:rsidR="00D41F08">
        <w:rPr>
          <w:b/>
        </w:rPr>
        <w:t>2</w:t>
      </w:r>
      <w:r>
        <w:rPr>
          <w:b/>
        </w:rPr>
        <w:t xml:space="preserve">: </w:t>
      </w:r>
      <w:r w:rsidR="001F0CA7">
        <w:rPr>
          <w:b/>
        </w:rPr>
        <w:t>T</w:t>
      </w:r>
      <w:r>
        <w:rPr>
          <w:b/>
        </w:rPr>
        <w:t xml:space="preserve">he </w:t>
      </w:r>
      <w:r w:rsidR="001F0CA7">
        <w:rPr>
          <w:b/>
        </w:rPr>
        <w:t>required</w:t>
      </w:r>
      <w:r w:rsidR="007A3310">
        <w:rPr>
          <w:b/>
        </w:rPr>
        <w:t xml:space="preserve"> </w:t>
      </w:r>
      <w:r>
        <w:rPr>
          <w:b/>
        </w:rPr>
        <w:t xml:space="preserve">layer 2 buffer </w:t>
      </w:r>
      <w:r w:rsidR="001F0CA7">
        <w:rPr>
          <w:b/>
        </w:rPr>
        <w:t xml:space="preserve">size </w:t>
      </w:r>
      <w:r w:rsidR="007A3310">
        <w:rPr>
          <w:b/>
        </w:rPr>
        <w:t xml:space="preserve">and its </w:t>
      </w:r>
      <w:r>
        <w:rPr>
          <w:b/>
        </w:rPr>
        <w:t xml:space="preserve">reporting needs to be </w:t>
      </w:r>
      <w:r w:rsidR="007A3310">
        <w:rPr>
          <w:b/>
        </w:rPr>
        <w:t xml:space="preserve">further </w:t>
      </w:r>
      <w:r>
        <w:rPr>
          <w:b/>
        </w:rPr>
        <w:t>discussed.</w:t>
      </w:r>
    </w:p>
    <w:p w14:paraId="6FEFB6CD" w14:textId="12030CE1" w:rsidR="00FD59C5" w:rsidRDefault="00FD59C5" w:rsidP="00FD59C5">
      <w:pPr>
        <w:pStyle w:val="B1"/>
        <w:ind w:left="0" w:firstLine="0"/>
        <w:rPr>
          <w:b/>
        </w:rPr>
      </w:pPr>
      <w:r>
        <w:rPr>
          <w:b/>
        </w:rPr>
        <w:t>Proposal 4</w:t>
      </w:r>
      <w:r w:rsidRPr="00231497">
        <w:rPr>
          <w:b/>
        </w:rPr>
        <w:t xml:space="preserve">: </w:t>
      </w:r>
      <w:r>
        <w:rPr>
          <w:b/>
        </w:rPr>
        <w:t xml:space="preserve">RAN2 is kindly requested to discuss the observations made for the </w:t>
      </w:r>
      <w:r w:rsidR="007A3310">
        <w:rPr>
          <w:b/>
        </w:rPr>
        <w:t xml:space="preserve">possible sharing of </w:t>
      </w:r>
      <w:r w:rsidRPr="00FD59C5">
        <w:rPr>
          <w:b/>
        </w:rPr>
        <w:t>layer 2 buffer size</w:t>
      </w:r>
      <w:r w:rsidR="007A3310">
        <w:rPr>
          <w:b/>
        </w:rPr>
        <w:t>.</w:t>
      </w:r>
    </w:p>
    <w:p w14:paraId="6D71BB22" w14:textId="1A11D2AE" w:rsidR="00CD4C7B" w:rsidRPr="006E13D1" w:rsidRDefault="00CD4C7B" w:rsidP="00CD4C7B">
      <w:pPr>
        <w:pStyle w:val="Heading1"/>
      </w:pPr>
      <w:r w:rsidRPr="006E13D1">
        <w:t>4</w:t>
      </w:r>
      <w:r w:rsidRPr="006E13D1">
        <w:tab/>
      </w:r>
      <w:r w:rsidR="00F20679">
        <w:t>Conclusion</w:t>
      </w:r>
    </w:p>
    <w:p w14:paraId="3F24F439" w14:textId="1B068F07" w:rsidR="00CD4C7B" w:rsidRDefault="004F4A46" w:rsidP="00CD4C7B">
      <w:r>
        <w:t xml:space="preserve">In this contribution </w:t>
      </w:r>
      <w:r w:rsidR="003F3271">
        <w:t>we have discussed the aspects of the NR capabilities and their relation to LTE/NR tight interworking. Based on the discussion we have also made a few observations:</w:t>
      </w:r>
      <w:r>
        <w:t xml:space="preserve"> </w:t>
      </w:r>
    </w:p>
    <w:p w14:paraId="45C93195" w14:textId="77777777" w:rsidR="00B33450" w:rsidRDefault="00B33450" w:rsidP="00B33450">
      <w:pPr>
        <w:pStyle w:val="B1"/>
        <w:ind w:left="0" w:firstLine="0"/>
        <w:rPr>
          <w:b/>
        </w:rPr>
      </w:pPr>
      <w:r w:rsidRPr="00B33450">
        <w:rPr>
          <w:b/>
        </w:rPr>
        <w:t>Observation 1: The modelling of NR RF capabilities below 6 GHz does not necessarily follow from the LTE reporting mechanisms.</w:t>
      </w:r>
    </w:p>
    <w:p w14:paraId="06E6D4CF" w14:textId="527FEE28" w:rsidR="00B33450" w:rsidRDefault="00B33450" w:rsidP="00B33450">
      <w:pPr>
        <w:pStyle w:val="B1"/>
        <w:ind w:left="0" w:firstLine="0"/>
        <w:rPr>
          <w:b/>
        </w:rPr>
      </w:pPr>
      <w:bookmarkStart w:id="2" w:name="_GoBack"/>
      <w:bookmarkEnd w:id="2"/>
      <w:r w:rsidRPr="00B33450">
        <w:rPr>
          <w:b/>
        </w:rPr>
        <w:lastRenderedPageBreak/>
        <w:t>Observation 2: The modelling of NR RF capabilities above 6 GHz allows choices for higher degree of simplification; e.g.  The RF capability could be limited to the supported frequency range and the maximum bandwidth rather than covering all possible carrier combinations.</w:t>
      </w:r>
    </w:p>
    <w:p w14:paraId="0D66779A" w14:textId="2F06F9E1" w:rsidR="00B33450" w:rsidRDefault="00B33450" w:rsidP="00B33450">
      <w:pPr>
        <w:pStyle w:val="B1"/>
        <w:ind w:left="0" w:firstLine="0"/>
        <w:rPr>
          <w:b/>
        </w:rPr>
      </w:pPr>
      <w:r w:rsidRPr="00B33450">
        <w:rPr>
          <w:b/>
        </w:rPr>
        <w:t>Observation 3: For NR above 6 GHz operation, a sub-band reporting or explicit frequency reporting may be considered, in order to avoid reporting unallocated bands components.</w:t>
      </w:r>
    </w:p>
    <w:p w14:paraId="459C499B" w14:textId="17C08FC9" w:rsidR="00B33450" w:rsidRDefault="00B33450" w:rsidP="00B33450">
      <w:pPr>
        <w:pStyle w:val="B1"/>
        <w:ind w:left="0" w:firstLine="0"/>
        <w:rPr>
          <w:b/>
        </w:rPr>
      </w:pPr>
      <w:r w:rsidRPr="00B33450">
        <w:rPr>
          <w:b/>
        </w:rPr>
        <w:t>Observation 4: The initial NR deployments will have UEs supporting at most one band at one time above 6 GHz.</w:t>
      </w:r>
    </w:p>
    <w:p w14:paraId="5E6A530C" w14:textId="3000D1EC" w:rsidR="00B33450" w:rsidRDefault="00B33450" w:rsidP="00B33450">
      <w:pPr>
        <w:pStyle w:val="B1"/>
        <w:ind w:left="0" w:firstLine="0"/>
        <w:rPr>
          <w:b/>
        </w:rPr>
      </w:pPr>
      <w:r w:rsidRPr="00B33450">
        <w:rPr>
          <w:b/>
        </w:rPr>
        <w:t>Observation 5: For NR above 6 GHz operation, non-contiguous CA might not be quite attractive nor needed, and contiguous CA could apply instead (This is due to the large amount of spectrum that is available.)</w:t>
      </w:r>
    </w:p>
    <w:p w14:paraId="35C4F6F8" w14:textId="60435797" w:rsidR="00B33450" w:rsidRDefault="00B33450" w:rsidP="00B33450">
      <w:pPr>
        <w:pStyle w:val="B1"/>
        <w:ind w:left="0" w:firstLine="0"/>
        <w:rPr>
          <w:b/>
        </w:rPr>
      </w:pPr>
      <w:r w:rsidRPr="00B33450">
        <w:rPr>
          <w:b/>
        </w:rPr>
        <w:t>Observation 6: Due to the fundamental differences in the manner RF operates, there is no trade-off in the uplink transmitter power sharing between the below 6 GHz and above 6 GHz bands.</w:t>
      </w:r>
    </w:p>
    <w:p w14:paraId="4BBB3D8B" w14:textId="6934D828" w:rsidR="00B33450" w:rsidRDefault="00B33450" w:rsidP="00B33450">
      <w:pPr>
        <w:pStyle w:val="B1"/>
        <w:ind w:left="0" w:firstLine="0"/>
        <w:rPr>
          <w:b/>
        </w:rPr>
      </w:pPr>
      <w:r w:rsidRPr="00B33450">
        <w:rPr>
          <w:b/>
        </w:rPr>
        <w:t>Observation 7: Some HARQ buffer resources could be shared across multiple RATs.</w:t>
      </w:r>
    </w:p>
    <w:p w14:paraId="6D5CB972" w14:textId="1943338B" w:rsidR="00B33450" w:rsidRDefault="00B33450" w:rsidP="00B33450">
      <w:pPr>
        <w:pStyle w:val="B1"/>
        <w:ind w:left="0" w:firstLine="0"/>
        <w:rPr>
          <w:b/>
        </w:rPr>
      </w:pPr>
      <w:r w:rsidRPr="00B33450">
        <w:rPr>
          <w:b/>
        </w:rPr>
        <w:t>Observation 8: It is unclear whether NR PHY related aspects (e.g. coding, TTI and symbol lengths) will create challenges in sharing of HARQ buffer resources.</w:t>
      </w:r>
    </w:p>
    <w:p w14:paraId="1CA4AC59" w14:textId="46E4E2BE" w:rsidR="00B33450" w:rsidRDefault="00B33450" w:rsidP="00B33450">
      <w:pPr>
        <w:pStyle w:val="B1"/>
        <w:ind w:left="0" w:firstLine="0"/>
        <w:rPr>
          <w:b/>
        </w:rPr>
      </w:pPr>
      <w:r w:rsidRPr="00B33450">
        <w:rPr>
          <w:b/>
        </w:rPr>
        <w:t>Observation 9: Any resource sharing should be done fast enough without a large impact to the control overhead in the circuitry leading to negative impacts (e.g. in decoding speed).</w:t>
      </w:r>
    </w:p>
    <w:p w14:paraId="61C22865" w14:textId="006D3704" w:rsidR="00B33450" w:rsidRDefault="00B33450" w:rsidP="00B33450">
      <w:pPr>
        <w:pStyle w:val="B1"/>
        <w:ind w:left="0" w:firstLine="0"/>
        <w:rPr>
          <w:b/>
        </w:rPr>
      </w:pPr>
      <w:r w:rsidRPr="00B33450">
        <w:rPr>
          <w:b/>
        </w:rPr>
        <w:t>Observation 10: Sharing the layer 2 buffer size between multiple RATs seems reasonable.</w:t>
      </w:r>
    </w:p>
    <w:p w14:paraId="178FDABE" w14:textId="7183AF05" w:rsidR="00B33450" w:rsidRDefault="00B33450" w:rsidP="00B33450">
      <w:pPr>
        <w:pStyle w:val="B1"/>
        <w:ind w:left="0" w:firstLine="0"/>
        <w:rPr>
          <w:b/>
        </w:rPr>
      </w:pPr>
      <w:r w:rsidRPr="00B33450">
        <w:rPr>
          <w:b/>
        </w:rPr>
        <w:t>Observation 11: The single-RAT requirements on layer 2 buffer size for LTE and NR may or may not be very different.</w:t>
      </w:r>
    </w:p>
    <w:p w14:paraId="2F208BEA" w14:textId="3C540D0B" w:rsidR="00D41F08" w:rsidRDefault="00B33450" w:rsidP="00B33450">
      <w:pPr>
        <w:pStyle w:val="B1"/>
        <w:ind w:left="0" w:firstLine="0"/>
        <w:rPr>
          <w:b/>
        </w:rPr>
      </w:pPr>
      <w:r w:rsidRPr="00B33450">
        <w:rPr>
          <w:b/>
        </w:rPr>
        <w:t>Observation 12: The required layer 2 buffer size and its reporting needs to be further discussed.</w:t>
      </w:r>
    </w:p>
    <w:p w14:paraId="60F9FF88" w14:textId="3246F1FF" w:rsidR="00C02444" w:rsidRPr="003F3271" w:rsidRDefault="00C02444" w:rsidP="00D41F08">
      <w:pPr>
        <w:pStyle w:val="B1"/>
        <w:ind w:left="0" w:firstLine="0"/>
      </w:pPr>
      <w:r w:rsidRPr="003F3271">
        <w:t>Based</w:t>
      </w:r>
      <w:r>
        <w:t xml:space="preserve"> on the observations above, </w:t>
      </w:r>
      <w:r w:rsidR="003F3271">
        <w:t>we make the following proposals and send a LS to WG1 and WG4 seeking answers to the questions listed in [3]:</w:t>
      </w:r>
    </w:p>
    <w:p w14:paraId="6730534A" w14:textId="77777777" w:rsidR="00B33450" w:rsidRDefault="00B33450" w:rsidP="00B33450">
      <w:pPr>
        <w:pStyle w:val="B1"/>
        <w:ind w:left="0" w:firstLine="0"/>
        <w:rPr>
          <w:b/>
        </w:rPr>
      </w:pPr>
      <w:r w:rsidRPr="00B33450">
        <w:rPr>
          <w:b/>
        </w:rPr>
        <w:t>Proposal 1: RAN2 is requested to discuss the observations made for the NR RF capabilities.</w:t>
      </w:r>
    </w:p>
    <w:p w14:paraId="43F82D90" w14:textId="77777777" w:rsidR="00B33450" w:rsidRDefault="00B33450" w:rsidP="00B33450">
      <w:pPr>
        <w:pStyle w:val="B1"/>
        <w:ind w:left="0" w:firstLine="0"/>
        <w:rPr>
          <w:b/>
        </w:rPr>
      </w:pPr>
      <w:r w:rsidRPr="00B33450">
        <w:rPr>
          <w:b/>
        </w:rPr>
        <w:t>Proposal 2: Consider modelling the total number of soft-channel bits as a semi-static split between RATs for NR UE capabilities.</w:t>
      </w:r>
    </w:p>
    <w:p w14:paraId="22F8D038" w14:textId="77777777" w:rsidR="00B33450" w:rsidRPr="00B33450" w:rsidRDefault="00B33450" w:rsidP="00B33450">
      <w:pPr>
        <w:pStyle w:val="B1"/>
        <w:ind w:left="0" w:firstLine="0"/>
        <w:rPr>
          <w:b/>
        </w:rPr>
      </w:pPr>
      <w:r w:rsidRPr="00B33450">
        <w:rPr>
          <w:b/>
        </w:rPr>
        <w:t>Proposal 3: RAN2 is kindly requested to discuss the observations made for the HARQ buffer sharing.</w:t>
      </w:r>
    </w:p>
    <w:p w14:paraId="6E91C243" w14:textId="77777777" w:rsidR="00B33450" w:rsidRDefault="00B33450" w:rsidP="00B33450">
      <w:pPr>
        <w:pStyle w:val="B1"/>
        <w:ind w:left="0" w:firstLine="0"/>
        <w:rPr>
          <w:b/>
        </w:rPr>
      </w:pPr>
      <w:r w:rsidRPr="00B33450">
        <w:rPr>
          <w:b/>
        </w:rPr>
        <w:t>Proposal 4: RAN2 is kindly requested to discuss the observations made for the possible sharing of layer 2 buffer size.</w:t>
      </w:r>
    </w:p>
    <w:p w14:paraId="61E9E187" w14:textId="68D67FE5" w:rsidR="00D41F08" w:rsidRPr="003F3271" w:rsidRDefault="00D41F08" w:rsidP="00B33450">
      <w:pPr>
        <w:pStyle w:val="B1"/>
        <w:ind w:left="0" w:firstLine="0"/>
        <w:rPr>
          <w:b/>
        </w:rPr>
      </w:pPr>
      <w:r w:rsidRPr="00231497">
        <w:rPr>
          <w:b/>
        </w:rPr>
        <w:t xml:space="preserve">Proposal </w:t>
      </w:r>
      <w:r>
        <w:rPr>
          <w:b/>
        </w:rPr>
        <w:t>5</w:t>
      </w:r>
      <w:r w:rsidRPr="00231497">
        <w:rPr>
          <w:b/>
        </w:rPr>
        <w:t xml:space="preserve">: </w:t>
      </w:r>
      <w:r>
        <w:rPr>
          <w:b/>
        </w:rPr>
        <w:t>RAN2 is requested to discuss the draft LS</w:t>
      </w:r>
      <w:r w:rsidR="003F3271">
        <w:rPr>
          <w:b/>
        </w:rPr>
        <w:t xml:space="preserve"> in [3]</w:t>
      </w:r>
      <w:r>
        <w:rPr>
          <w:b/>
        </w:rPr>
        <w:t xml:space="preserve"> and send it to RAN4 and RAN1.</w:t>
      </w:r>
    </w:p>
    <w:p w14:paraId="07BA05B4" w14:textId="77777777" w:rsidR="00CD4C7B" w:rsidRPr="006E13D1" w:rsidRDefault="00CD4C7B" w:rsidP="00CD4C7B">
      <w:pPr>
        <w:pStyle w:val="Heading1"/>
      </w:pPr>
      <w:r w:rsidRPr="006E13D1">
        <w:t>References</w:t>
      </w:r>
    </w:p>
    <w:p w14:paraId="06797973" w14:textId="77777777" w:rsidR="00222458" w:rsidRDefault="00222458" w:rsidP="00CD4C7B">
      <w:pPr>
        <w:numPr>
          <w:ilvl w:val="0"/>
          <w:numId w:val="4"/>
        </w:numPr>
        <w:overflowPunct w:val="0"/>
        <w:autoSpaceDE w:val="0"/>
        <w:autoSpaceDN w:val="0"/>
        <w:adjustRightInd w:val="0"/>
        <w:textAlignment w:val="baseline"/>
      </w:pPr>
      <w:bookmarkStart w:id="3" w:name="_Ref75086397"/>
      <w:r>
        <w:t xml:space="preserve">RP-161266: </w:t>
      </w:r>
      <w:r w:rsidRPr="008D1F94">
        <w:t>5G architecture options – full set</w:t>
      </w:r>
      <w:r>
        <w:t xml:space="preserve">, </w:t>
      </w:r>
      <w:r w:rsidRPr="008D1F94">
        <w:rPr>
          <w:i/>
        </w:rPr>
        <w:t>Deutsche Telekom AG</w:t>
      </w:r>
    </w:p>
    <w:p w14:paraId="7D34E6F2" w14:textId="77777777" w:rsidR="00CD4C7B" w:rsidRDefault="00222458" w:rsidP="00CD4C7B">
      <w:pPr>
        <w:numPr>
          <w:ilvl w:val="0"/>
          <w:numId w:val="4"/>
        </w:numPr>
        <w:overflowPunct w:val="0"/>
        <w:autoSpaceDE w:val="0"/>
        <w:autoSpaceDN w:val="0"/>
        <w:adjustRightInd w:val="0"/>
        <w:textAlignment w:val="baseline"/>
      </w:pPr>
      <w:r>
        <w:t xml:space="preserve">R2-166243: </w:t>
      </w:r>
      <w:r w:rsidRPr="00222458">
        <w:rPr>
          <w:i/>
        </w:rPr>
        <w:t>On UE capability and network node coordination aspects in LTE-NR tight interworking</w:t>
      </w:r>
      <w:r w:rsidRPr="00222458">
        <w:tab/>
        <w:t>Nokia, Alcatel-Lucent Shanghai Bell</w:t>
      </w:r>
      <w:bookmarkEnd w:id="3"/>
    </w:p>
    <w:p w14:paraId="014A88B7" w14:textId="446759E5" w:rsidR="00D41F08" w:rsidRDefault="00D41F08" w:rsidP="00D41F08">
      <w:pPr>
        <w:numPr>
          <w:ilvl w:val="0"/>
          <w:numId w:val="4"/>
        </w:numPr>
        <w:overflowPunct w:val="0"/>
        <w:autoSpaceDE w:val="0"/>
        <w:autoSpaceDN w:val="0"/>
        <w:adjustRightInd w:val="0"/>
        <w:textAlignment w:val="baseline"/>
      </w:pPr>
      <w:r>
        <w:t>R2-</w:t>
      </w:r>
      <w:r w:rsidR="00ED0E69">
        <w:t>168117</w:t>
      </w:r>
      <w:r>
        <w:t xml:space="preserve">: </w:t>
      </w:r>
      <w:r w:rsidRPr="003F3271">
        <w:rPr>
          <w:i/>
        </w:rPr>
        <w:t>LS on UE capability aspects for LTE/NR tight interworking</w:t>
      </w:r>
      <w:r>
        <w:t xml:space="preserve">, </w:t>
      </w:r>
      <w:r w:rsidRPr="00222458">
        <w:t>Nokia, Alcatel-Lucent Shanghai Bell</w:t>
      </w:r>
    </w:p>
    <w:p w14:paraId="1EA43ABB" w14:textId="3AAD6E00" w:rsidR="00AA30D6" w:rsidRPr="006E13D1" w:rsidRDefault="00650237" w:rsidP="00D41F08">
      <w:pPr>
        <w:numPr>
          <w:ilvl w:val="0"/>
          <w:numId w:val="4"/>
        </w:numPr>
        <w:overflowPunct w:val="0"/>
        <w:autoSpaceDE w:val="0"/>
        <w:autoSpaceDN w:val="0"/>
        <w:adjustRightInd w:val="0"/>
        <w:textAlignment w:val="baseline"/>
      </w:pPr>
      <w:hyperlink r:id="rId9" w:history="1">
        <w:r w:rsidR="00AA30D6" w:rsidRPr="008E3686">
          <w:rPr>
            <w:rStyle w:val="Hyperlink"/>
          </w:rPr>
          <w:t>R2-164786</w:t>
        </w:r>
      </w:hyperlink>
      <w:r w:rsidR="00AA30D6">
        <w:t xml:space="preserve">, </w:t>
      </w:r>
      <w:r w:rsidR="00AA30D6" w:rsidRPr="003F3271">
        <w:rPr>
          <w:i/>
        </w:rPr>
        <w:t>On aggregation of LTE and NR on a split bearer</w:t>
      </w:r>
      <w:r w:rsidR="00AA30D6">
        <w:t>, Nokia, Alcatel-Lucent Shanghai Bell</w:t>
      </w:r>
    </w:p>
    <w:p w14:paraId="718CDEA0" w14:textId="77777777" w:rsidR="00CD4C7B" w:rsidRDefault="00CD4C7B" w:rsidP="00CD4C7B"/>
    <w:p w14:paraId="4445A51F"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CBEC5F" w14:textId="77777777" w:rsidR="00650237" w:rsidRDefault="00650237">
      <w:r>
        <w:separator/>
      </w:r>
    </w:p>
  </w:endnote>
  <w:endnote w:type="continuationSeparator" w:id="0">
    <w:p w14:paraId="427B5428" w14:textId="77777777" w:rsidR="00650237" w:rsidRDefault="00650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69C9E6" w14:textId="77777777" w:rsidR="00650237" w:rsidRDefault="00650237">
      <w:r>
        <w:separator/>
      </w:r>
    </w:p>
  </w:footnote>
  <w:footnote w:type="continuationSeparator" w:id="0">
    <w:p w14:paraId="3A75A17A" w14:textId="77777777" w:rsidR="00650237" w:rsidRDefault="006502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79DD"/>
    <w:rsid w:val="00033397"/>
    <w:rsid w:val="00040095"/>
    <w:rsid w:val="00041B41"/>
    <w:rsid w:val="00080512"/>
    <w:rsid w:val="00090468"/>
    <w:rsid w:val="000B7BCF"/>
    <w:rsid w:val="000C2EBB"/>
    <w:rsid w:val="000C522B"/>
    <w:rsid w:val="000C7EA6"/>
    <w:rsid w:val="000D58AB"/>
    <w:rsid w:val="000E2BE8"/>
    <w:rsid w:val="000F0A6B"/>
    <w:rsid w:val="000F605B"/>
    <w:rsid w:val="001276EA"/>
    <w:rsid w:val="001741A0"/>
    <w:rsid w:val="00194CD0"/>
    <w:rsid w:val="001B1327"/>
    <w:rsid w:val="001B49C9"/>
    <w:rsid w:val="001C076D"/>
    <w:rsid w:val="001C07DD"/>
    <w:rsid w:val="001E2090"/>
    <w:rsid w:val="001E5297"/>
    <w:rsid w:val="001F0CA7"/>
    <w:rsid w:val="001F168B"/>
    <w:rsid w:val="001F3B2F"/>
    <w:rsid w:val="001F7831"/>
    <w:rsid w:val="00204045"/>
    <w:rsid w:val="00204911"/>
    <w:rsid w:val="00222458"/>
    <w:rsid w:val="0022352D"/>
    <w:rsid w:val="00223D22"/>
    <w:rsid w:val="0022606D"/>
    <w:rsid w:val="00231497"/>
    <w:rsid w:val="002747EC"/>
    <w:rsid w:val="002855BF"/>
    <w:rsid w:val="002925E8"/>
    <w:rsid w:val="00296254"/>
    <w:rsid w:val="002A0B3D"/>
    <w:rsid w:val="002A4007"/>
    <w:rsid w:val="002A6D3D"/>
    <w:rsid w:val="002B0F17"/>
    <w:rsid w:val="002B7282"/>
    <w:rsid w:val="002C63A2"/>
    <w:rsid w:val="002E153A"/>
    <w:rsid w:val="002F0D22"/>
    <w:rsid w:val="003172DC"/>
    <w:rsid w:val="00326069"/>
    <w:rsid w:val="00332D90"/>
    <w:rsid w:val="00337277"/>
    <w:rsid w:val="0035462D"/>
    <w:rsid w:val="003629E6"/>
    <w:rsid w:val="00372066"/>
    <w:rsid w:val="00372B11"/>
    <w:rsid w:val="00373F80"/>
    <w:rsid w:val="003911DD"/>
    <w:rsid w:val="003B40AD"/>
    <w:rsid w:val="003C3675"/>
    <w:rsid w:val="003C4E37"/>
    <w:rsid w:val="003E16BE"/>
    <w:rsid w:val="003E17B9"/>
    <w:rsid w:val="003F3271"/>
    <w:rsid w:val="00401855"/>
    <w:rsid w:val="00412F66"/>
    <w:rsid w:val="00440ABA"/>
    <w:rsid w:val="004557F5"/>
    <w:rsid w:val="00477455"/>
    <w:rsid w:val="004A6A82"/>
    <w:rsid w:val="004C5929"/>
    <w:rsid w:val="004D3578"/>
    <w:rsid w:val="004D380D"/>
    <w:rsid w:val="004E213A"/>
    <w:rsid w:val="004E3E23"/>
    <w:rsid w:val="004F4A46"/>
    <w:rsid w:val="00503171"/>
    <w:rsid w:val="00534DA0"/>
    <w:rsid w:val="00543E6C"/>
    <w:rsid w:val="00563884"/>
    <w:rsid w:val="00565087"/>
    <w:rsid w:val="0056573F"/>
    <w:rsid w:val="00587BC6"/>
    <w:rsid w:val="005A5824"/>
    <w:rsid w:val="005B0DDE"/>
    <w:rsid w:val="005B685E"/>
    <w:rsid w:val="005C53F9"/>
    <w:rsid w:val="005E36F0"/>
    <w:rsid w:val="00607E5C"/>
    <w:rsid w:val="00611566"/>
    <w:rsid w:val="006167E7"/>
    <w:rsid w:val="00636582"/>
    <w:rsid w:val="00643E62"/>
    <w:rsid w:val="00646D99"/>
    <w:rsid w:val="00650237"/>
    <w:rsid w:val="00656910"/>
    <w:rsid w:val="006827B1"/>
    <w:rsid w:val="006872D5"/>
    <w:rsid w:val="006C192D"/>
    <w:rsid w:val="006C66D8"/>
    <w:rsid w:val="006D0A5B"/>
    <w:rsid w:val="006D1E24"/>
    <w:rsid w:val="006D3320"/>
    <w:rsid w:val="006E1417"/>
    <w:rsid w:val="006F6A2C"/>
    <w:rsid w:val="00734A5B"/>
    <w:rsid w:val="00741E9E"/>
    <w:rsid w:val="00744E76"/>
    <w:rsid w:val="007460E4"/>
    <w:rsid w:val="00757D40"/>
    <w:rsid w:val="00781F0F"/>
    <w:rsid w:val="0078727C"/>
    <w:rsid w:val="0079049D"/>
    <w:rsid w:val="007A3310"/>
    <w:rsid w:val="007B18D8"/>
    <w:rsid w:val="007C095F"/>
    <w:rsid w:val="008028A4"/>
    <w:rsid w:val="00805758"/>
    <w:rsid w:val="008179C6"/>
    <w:rsid w:val="00842092"/>
    <w:rsid w:val="00871E5C"/>
    <w:rsid w:val="008768CA"/>
    <w:rsid w:val="00880559"/>
    <w:rsid w:val="008920A6"/>
    <w:rsid w:val="008A0B38"/>
    <w:rsid w:val="008D2E73"/>
    <w:rsid w:val="008D342E"/>
    <w:rsid w:val="008E3AD6"/>
    <w:rsid w:val="008F27D4"/>
    <w:rsid w:val="0090271F"/>
    <w:rsid w:val="00904C4D"/>
    <w:rsid w:val="00906B7D"/>
    <w:rsid w:val="009333E4"/>
    <w:rsid w:val="00942EC2"/>
    <w:rsid w:val="009600AC"/>
    <w:rsid w:val="00961B32"/>
    <w:rsid w:val="00971952"/>
    <w:rsid w:val="00974BB0"/>
    <w:rsid w:val="009A0AF3"/>
    <w:rsid w:val="009A6A25"/>
    <w:rsid w:val="009B07CD"/>
    <w:rsid w:val="009C19E9"/>
    <w:rsid w:val="009C5964"/>
    <w:rsid w:val="00A05001"/>
    <w:rsid w:val="00A05347"/>
    <w:rsid w:val="00A10F02"/>
    <w:rsid w:val="00A120DD"/>
    <w:rsid w:val="00A23AE0"/>
    <w:rsid w:val="00A53724"/>
    <w:rsid w:val="00A764B7"/>
    <w:rsid w:val="00A82346"/>
    <w:rsid w:val="00A87D83"/>
    <w:rsid w:val="00A9671C"/>
    <w:rsid w:val="00AA08BC"/>
    <w:rsid w:val="00AA30D6"/>
    <w:rsid w:val="00AB2759"/>
    <w:rsid w:val="00AC40BA"/>
    <w:rsid w:val="00AD317C"/>
    <w:rsid w:val="00B15449"/>
    <w:rsid w:val="00B33450"/>
    <w:rsid w:val="00B446B0"/>
    <w:rsid w:val="00B47FD1"/>
    <w:rsid w:val="00B546A8"/>
    <w:rsid w:val="00B97D62"/>
    <w:rsid w:val="00BD1C65"/>
    <w:rsid w:val="00BE30B5"/>
    <w:rsid w:val="00C02444"/>
    <w:rsid w:val="00C12B51"/>
    <w:rsid w:val="00C24650"/>
    <w:rsid w:val="00C32D07"/>
    <w:rsid w:val="00C33079"/>
    <w:rsid w:val="00C52E67"/>
    <w:rsid w:val="00C574E4"/>
    <w:rsid w:val="00C66667"/>
    <w:rsid w:val="00C83A13"/>
    <w:rsid w:val="00C940C6"/>
    <w:rsid w:val="00CA3D0C"/>
    <w:rsid w:val="00CA654B"/>
    <w:rsid w:val="00CC2245"/>
    <w:rsid w:val="00CD4C7B"/>
    <w:rsid w:val="00D24063"/>
    <w:rsid w:val="00D41F08"/>
    <w:rsid w:val="00D47F86"/>
    <w:rsid w:val="00D578FA"/>
    <w:rsid w:val="00D738D6"/>
    <w:rsid w:val="00D80795"/>
    <w:rsid w:val="00D855C6"/>
    <w:rsid w:val="00D87E00"/>
    <w:rsid w:val="00D9134D"/>
    <w:rsid w:val="00D9615A"/>
    <w:rsid w:val="00D96D11"/>
    <w:rsid w:val="00D97379"/>
    <w:rsid w:val="00DA7A03"/>
    <w:rsid w:val="00DB1818"/>
    <w:rsid w:val="00DB61F5"/>
    <w:rsid w:val="00DC309B"/>
    <w:rsid w:val="00DC48F3"/>
    <w:rsid w:val="00DC4DA2"/>
    <w:rsid w:val="00E5218B"/>
    <w:rsid w:val="00E62835"/>
    <w:rsid w:val="00E75338"/>
    <w:rsid w:val="00E77645"/>
    <w:rsid w:val="00E828FC"/>
    <w:rsid w:val="00E83697"/>
    <w:rsid w:val="00E8651E"/>
    <w:rsid w:val="00E8668A"/>
    <w:rsid w:val="00EA6667"/>
    <w:rsid w:val="00EC4A25"/>
    <w:rsid w:val="00ED0E69"/>
    <w:rsid w:val="00EF2C64"/>
    <w:rsid w:val="00F025A2"/>
    <w:rsid w:val="00F07388"/>
    <w:rsid w:val="00F16567"/>
    <w:rsid w:val="00F2026E"/>
    <w:rsid w:val="00F20679"/>
    <w:rsid w:val="00F219DF"/>
    <w:rsid w:val="00F2210A"/>
    <w:rsid w:val="00F37743"/>
    <w:rsid w:val="00F37977"/>
    <w:rsid w:val="00F42B47"/>
    <w:rsid w:val="00F54A3D"/>
    <w:rsid w:val="00F653B8"/>
    <w:rsid w:val="00F71B89"/>
    <w:rsid w:val="00F7353C"/>
    <w:rsid w:val="00F76F8F"/>
    <w:rsid w:val="00F942D4"/>
    <w:rsid w:val="00F94673"/>
    <w:rsid w:val="00FA1266"/>
    <w:rsid w:val="00FB2B70"/>
    <w:rsid w:val="00FC1192"/>
    <w:rsid w:val="00FD049B"/>
    <w:rsid w:val="00FD59C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3A3A04"/>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customStyle="1" w:styleId="Doc-text2">
    <w:name w:val="Doc-text2"/>
    <w:basedOn w:val="Normal"/>
    <w:link w:val="Doc-text2Char"/>
    <w:qFormat/>
    <w:rsid w:val="0022245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22458"/>
    <w:rPr>
      <w:rFonts w:ascii="Arial" w:eastAsia="MS Mincho" w:hAnsi="Arial"/>
      <w:szCs w:val="24"/>
    </w:rPr>
  </w:style>
  <w:style w:type="character" w:customStyle="1" w:styleId="THChar">
    <w:name w:val="TH Char"/>
    <w:link w:val="TH"/>
    <w:rsid w:val="00222458"/>
    <w:rPr>
      <w:rFonts w:ascii="Arial" w:hAnsi="Arial"/>
      <w:b/>
      <w:lang w:eastAsia="en-US"/>
    </w:rPr>
  </w:style>
  <w:style w:type="character" w:styleId="CommentReference">
    <w:name w:val="annotation reference"/>
    <w:basedOn w:val="DefaultParagraphFont"/>
    <w:rsid w:val="00842092"/>
    <w:rPr>
      <w:sz w:val="16"/>
      <w:szCs w:val="16"/>
    </w:rPr>
  </w:style>
  <w:style w:type="paragraph" w:styleId="CommentText">
    <w:name w:val="annotation text"/>
    <w:basedOn w:val="Normal"/>
    <w:link w:val="CommentTextChar"/>
    <w:rsid w:val="00842092"/>
  </w:style>
  <w:style w:type="character" w:customStyle="1" w:styleId="CommentTextChar">
    <w:name w:val="Comment Text Char"/>
    <w:basedOn w:val="DefaultParagraphFont"/>
    <w:link w:val="CommentText"/>
    <w:rsid w:val="00842092"/>
    <w:rPr>
      <w:lang w:eastAsia="en-US"/>
    </w:rPr>
  </w:style>
  <w:style w:type="paragraph" w:styleId="CommentSubject">
    <w:name w:val="annotation subject"/>
    <w:basedOn w:val="CommentText"/>
    <w:next w:val="CommentText"/>
    <w:link w:val="CommentSubjectChar"/>
    <w:rsid w:val="00842092"/>
    <w:rPr>
      <w:b/>
      <w:bCs/>
    </w:rPr>
  </w:style>
  <w:style w:type="character" w:customStyle="1" w:styleId="CommentSubjectChar">
    <w:name w:val="Comment Subject Char"/>
    <w:basedOn w:val="CommentTextChar"/>
    <w:link w:val="CommentSubject"/>
    <w:rsid w:val="00842092"/>
    <w:rPr>
      <w:b/>
      <w:bCs/>
      <w:lang w:eastAsia="en-US"/>
    </w:rPr>
  </w:style>
  <w:style w:type="paragraph" w:styleId="BalloonText">
    <w:name w:val="Balloon Text"/>
    <w:basedOn w:val="Normal"/>
    <w:link w:val="BalloonTextChar"/>
    <w:rsid w:val="00842092"/>
    <w:pPr>
      <w:spacing w:after="0"/>
    </w:pPr>
    <w:rPr>
      <w:rFonts w:ascii="Segoe UI" w:hAnsi="Segoe UI" w:cs="Segoe UI"/>
      <w:sz w:val="18"/>
      <w:szCs w:val="18"/>
    </w:rPr>
  </w:style>
  <w:style w:type="character" w:customStyle="1" w:styleId="BalloonTextChar">
    <w:name w:val="Balloon Text Char"/>
    <w:basedOn w:val="DefaultParagraphFont"/>
    <w:link w:val="BalloonText"/>
    <w:rsid w:val="00842092"/>
    <w:rPr>
      <w:rFonts w:ascii="Segoe UI" w:hAnsi="Segoe UI" w:cs="Segoe UI"/>
      <w:sz w:val="18"/>
      <w:szCs w:val="18"/>
      <w:lang w:eastAsia="en-US"/>
    </w:rPr>
  </w:style>
  <w:style w:type="paragraph" w:styleId="Revision">
    <w:name w:val="Revision"/>
    <w:hidden/>
    <w:uiPriority w:val="99"/>
    <w:semiHidden/>
    <w:rsid w:val="00F20679"/>
    <w:rPr>
      <w:lang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F2067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tp://ftp.3gpp.org/tsg_ran/WG2_RL2/TSGR2_95/Docs//R2-16478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114</TotalTime>
  <Pages>5</Pages>
  <Words>1823</Words>
  <Characters>14769</Characters>
  <Application>Microsoft Office Word</Application>
  <DocSecurity>0</DocSecurity>
  <Lines>123</Lines>
  <Paragraphs>33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16559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Ali, Amaanat (Nokia - FI/Espoo)</dc:creator>
  <cp:lastModifiedBy>Ali, Amaanat (Nokia - FI/Espoo)</cp:lastModifiedBy>
  <cp:revision>25</cp:revision>
  <dcterms:created xsi:type="dcterms:W3CDTF">2016-11-02T09:39:00Z</dcterms:created>
  <dcterms:modified xsi:type="dcterms:W3CDTF">2016-11-04T13:34:00Z</dcterms:modified>
</cp:coreProperties>
</file>